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91F4" w14:textId="30CDCAC5" w:rsidR="008F3A7C" w:rsidRPr="008F3A7C" w:rsidRDefault="008F3A7C" w:rsidP="002D002E">
      <w:pPr>
        <w:pStyle w:val="Ttulo1"/>
        <w:shd w:val="clear" w:color="auto" w:fill="auto"/>
        <w:spacing w:before="0" w:after="100" w:afterAutospacing="1"/>
        <w:jc w:val="center"/>
        <w:rPr>
          <w:rFonts w:ascii="Times New Roman" w:eastAsia="Arial Unicode MS" w:hAnsi="Times New Roman" w:cs="Times New Roman"/>
          <w:b w:val="0"/>
          <w:color w:val="000000"/>
          <w:sz w:val="24"/>
          <w:szCs w:val="24"/>
          <w:u w:val="single"/>
          <w:lang w:eastAsia="es-ES" w:bidi="ar-SA"/>
        </w:rPr>
      </w:pPr>
      <w:r w:rsidRPr="00243667">
        <w:rPr>
          <w:rFonts w:ascii="Times New Roman" w:eastAsia="Arial Unicode MS" w:hAnsi="Times New Roman" w:cs="Times New Roman"/>
          <w:color w:val="000000"/>
          <w:sz w:val="24"/>
          <w:szCs w:val="24"/>
          <w:u w:val="single"/>
          <w:lang w:eastAsia="es-ES" w:bidi="ar-SA"/>
        </w:rPr>
        <w:t>ORDENANZA FISCAL NÚMERO 12.</w:t>
      </w:r>
    </w:p>
    <w:p w14:paraId="133561F7" w14:textId="04F47233" w:rsidR="008F3A7C" w:rsidRPr="008F3A7C" w:rsidRDefault="008F3A7C" w:rsidP="002D002E">
      <w:pPr>
        <w:widowControl/>
        <w:suppressAutoHyphens w:val="0"/>
        <w:spacing w:after="100" w:afterAutospacing="1"/>
        <w:jc w:val="center"/>
        <w:rPr>
          <w:rFonts w:eastAsia="Times New Roman" w:cs="Times New Roman"/>
          <w:b/>
          <w:sz w:val="24"/>
          <w:u w:val="single"/>
          <w:lang w:eastAsia="es-ES" w:bidi="ar-SA"/>
        </w:rPr>
      </w:pPr>
      <w:r w:rsidRPr="008F3A7C">
        <w:rPr>
          <w:rFonts w:eastAsia="Times New Roman" w:cs="Times New Roman"/>
          <w:b/>
          <w:sz w:val="24"/>
          <w:u w:val="single"/>
          <w:lang w:eastAsia="es-ES" w:bidi="ar-SA"/>
        </w:rPr>
        <w:t>REGULADORA DEL IMPUESTO SOBRE EL INCREMENTO DEL VALOR DE LOS TERRENOS DE NATURALEZA URBANA.</w:t>
      </w:r>
    </w:p>
    <w:p w14:paraId="3D36F272" w14:textId="50F87AF5" w:rsidR="008F3A7C" w:rsidRPr="008F3A7C" w:rsidRDefault="008F3A7C" w:rsidP="008A369F">
      <w:pPr>
        <w:widowControl/>
        <w:suppressAutoHyphens w:val="0"/>
        <w:spacing w:after="100" w:afterAutospacing="1"/>
        <w:rPr>
          <w:rFonts w:eastAsiaTheme="minorHAnsi" w:cs="Times New Roman"/>
          <w:sz w:val="24"/>
          <w:lang w:eastAsia="en-US" w:bidi="ar-SA"/>
        </w:rPr>
      </w:pPr>
    </w:p>
    <w:p w14:paraId="7FFFD7D3"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I. DISPOSICIÓN GENERAL</w:t>
      </w:r>
    </w:p>
    <w:p w14:paraId="1507C6BF"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 </w:t>
      </w:r>
    </w:p>
    <w:p w14:paraId="15D32DE4" w14:textId="61E8C2E7" w:rsidR="008F3A7C" w:rsidRPr="008F3A7C" w:rsidRDefault="008F3A7C" w:rsidP="008A369F">
      <w:pPr>
        <w:widowControl/>
        <w:suppressAutoHyphens w:val="0"/>
        <w:spacing w:after="100" w:afterAutospacing="1"/>
        <w:jc w:val="both"/>
        <w:rPr>
          <w:rFonts w:eastAsiaTheme="minorHAnsi" w:cs="Times New Roman"/>
          <w:b/>
          <w:bCs/>
          <w:sz w:val="24"/>
          <w:lang w:eastAsia="en-US" w:bidi="ar-SA"/>
        </w:rPr>
      </w:pPr>
      <w:r w:rsidRPr="008F3A7C">
        <w:rPr>
          <w:rFonts w:eastAsiaTheme="minorHAnsi" w:cs="Times New Roman"/>
          <w:b/>
          <w:bCs/>
          <w:sz w:val="24"/>
          <w:lang w:eastAsia="en-US" w:bidi="ar-SA"/>
        </w:rPr>
        <w:t xml:space="preserve">Artículo 1  Fundamentación jurídica del presente impuesto. </w:t>
      </w:r>
    </w:p>
    <w:p w14:paraId="619441A4" w14:textId="4F14C2D8"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El presente texto se aprueba en ejercicio de la potestad reglamentaria reconocida al municipio de </w:t>
      </w:r>
      <w:r w:rsidR="00243667">
        <w:rPr>
          <w:rFonts w:eastAsiaTheme="minorHAnsi" w:cs="Times New Roman"/>
          <w:sz w:val="24"/>
          <w:lang w:eastAsia="en-US" w:bidi="ar-SA"/>
        </w:rPr>
        <w:t xml:space="preserve">Zaratán </w:t>
      </w:r>
      <w:r w:rsidRPr="008F3A7C">
        <w:rPr>
          <w:rFonts w:eastAsiaTheme="minorHAnsi" w:cs="Times New Roman"/>
          <w:sz w:val="24"/>
          <w:lang w:eastAsia="en-US" w:bidi="ar-SA"/>
        </w:rPr>
        <w:t xml:space="preserve">-en su calidad de Administración Pública de carácter territorial- en los artículos. 4.1. a), b) y 106 de la Ley 7/1985, de 2 de abril, reguladora de las Bases de Régimen Local, facultad específica del artículo 59.2 del Texto Refundido de la Ley Reguladora de las Haciendas Locales, aprobado por Real Decreto Legislativo 2/2004, de 5 de marzo, y de conformidad con lo establecido en los artículos. 104 a 110 de mencionado Texto Refundido. </w:t>
      </w:r>
    </w:p>
    <w:p w14:paraId="0FA72B2A"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 </w:t>
      </w:r>
    </w:p>
    <w:p w14:paraId="1B2FA408"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II. NATURALEZA Y HECHO IMPONIBLE</w:t>
      </w:r>
    </w:p>
    <w:p w14:paraId="0DB47C1C" w14:textId="3AB145C2" w:rsidR="008F3A7C" w:rsidRPr="008F3A7C" w:rsidRDefault="008F3A7C" w:rsidP="008A369F">
      <w:pPr>
        <w:widowControl/>
        <w:suppressAutoHyphens w:val="0"/>
        <w:spacing w:after="100" w:afterAutospacing="1"/>
        <w:jc w:val="both"/>
        <w:rPr>
          <w:rFonts w:eastAsiaTheme="minorHAnsi" w:cs="Times New Roman"/>
          <w:sz w:val="24"/>
          <w:lang w:eastAsia="en-US" w:bidi="ar-SA"/>
        </w:rPr>
      </w:pPr>
    </w:p>
    <w:p w14:paraId="6009F04C"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b/>
          <w:bCs/>
          <w:sz w:val="24"/>
          <w:lang w:eastAsia="en-US" w:bidi="ar-SA"/>
        </w:rPr>
        <w:t>Artículo 2. Naturaleza y hecho imponible</w:t>
      </w:r>
      <w:r w:rsidRPr="008F3A7C">
        <w:rPr>
          <w:rFonts w:eastAsiaTheme="minorHAnsi" w:cs="Times New Roman"/>
          <w:sz w:val="24"/>
          <w:lang w:eastAsia="en-US" w:bidi="ar-SA"/>
        </w:rPr>
        <w:t xml:space="preserve">.  </w:t>
      </w:r>
    </w:p>
    <w:p w14:paraId="7854814D"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Es un tributo directo, cuyo hecho imponible viene determinado por el incremento de valor que experimentan los terrenos de naturaleza urbana y que se ponga de manifiesto a consecuencia de la transmisión de la propiedad de los mismos por cualquier título o de la constitución o transmisión de cualquier derecho real de goce, limitativo de dominio, sobre los referidos terrenos. Para considerarlos de naturaleza urbana se atenderá a lo establecido en la regulación del Impuesto sobre Bienes Inmuebles, con independencia de que dichos terrenos se encuentren integrados en bienes inmuebles clasificados como de características especiales o de que estén o no contemplados como tales en el Catastro o en el Padrón correspondiente a bienes de tal naturaleza. </w:t>
      </w:r>
    </w:p>
    <w:p w14:paraId="29201C74" w14:textId="2AE49E21" w:rsidR="008F3A7C" w:rsidRPr="008F3A7C" w:rsidRDefault="008F3A7C" w:rsidP="00536F4D">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4FF04942" w14:textId="77777777" w:rsidR="008F3A7C" w:rsidRPr="008F3A7C" w:rsidRDefault="008F3A7C" w:rsidP="008A369F">
      <w:pPr>
        <w:widowControl/>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Artículo 3.  Supuestos de no sujeción</w:t>
      </w:r>
    </w:p>
    <w:p w14:paraId="251B1EC1" w14:textId="17378DF3"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1. No estarán sujetos al impuesto: </w:t>
      </w:r>
    </w:p>
    <w:p w14:paraId="238D4BA6" w14:textId="494D624B"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a) El incremento de valor que experimenten los terrenos que tengan la consideración de rústicos a efectos del Impuesto sobre Bienes Inmuebles. </w:t>
      </w:r>
    </w:p>
    <w:p w14:paraId="66C3E85E" w14:textId="51F4DA92" w:rsidR="008F3A7C"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b) Los incrementos que se puedan poner de manifiesto a consecuencia de aportaciones de bienes y derechos realizadas por los cónyuges a la sociedad conyugal, adjudicaciones que a su favor y en pago de ellas se verifiquen y transmisiones que se hagan a los cónyuges en pago de sus haberes comunes. Tampoco se producirá la sujeción al impuesto en los supuestos de transmisiones de bienes inmuebles entre cónyuges o a favor de los hijos como consecuencia del cumplimiento de sentencias en los casos de nulidad, separación o divorcio matrimonial, sea cual sea el régimen económico matrimonial.</w:t>
      </w:r>
    </w:p>
    <w:p w14:paraId="74C276BA" w14:textId="3971F499"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c) Los incrementos que se manifiesten con ocasión de las aportaciones o transmisiones de bienes inmuebles efectuadas a la Sociedad de Gestión de Activos Procedentes de la Reestructuración Bancaria, S.A. regulada en la disposición adicional séptima de la Ley 9/2012, de 14 de noviembre, de reestructuración y resolución de entidades de crédito, de acuerdo con </w:t>
      </w:r>
      <w:r w:rsidRPr="008F3A7C">
        <w:rPr>
          <w:rFonts w:eastAsia="Arial" w:cs="Times New Roman"/>
          <w:color w:val="000000"/>
          <w:sz w:val="24"/>
          <w:lang w:eastAsia="es-ES" w:bidi="ar-SA"/>
        </w:rPr>
        <w:lastRenderedPageBreak/>
        <w:t xml:space="preserve">lo establecido en el artículo 48 del Real Decreto 15597/2012, de 15 de noviembre, 8 por el que se establece el régimen jurídico de las sociedades de gestión de activos. </w:t>
      </w:r>
    </w:p>
    <w:p w14:paraId="5A845C8A" w14:textId="63C15816"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d) Los incrementos que se pongan de manifiesto con ocasión de las aportaciones o transmisiones realizadas por la Sociedad de Gestión de Activos Procedentes de la Reestructuración Bancaria, S.A., a entidades participadas directa o indirectamente por dicha Sociedad en al menos la mitad del capital, fondos propios, resultados o derechos de voto de la entidad participada en el momento inmediatamente anterior a la transmisión, o como consecuencia de la misma. </w:t>
      </w:r>
    </w:p>
    <w:p w14:paraId="6158E590" w14:textId="0B5D4147"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 Los incrementos que se manifiesten con ocasión de las aportaciones o transmisiones realizadas por la Sociedad de Gestión de Activos Procedentes de la Reestructuración Bancaria, S.A., o por las entidades constituidas por esta para cumplir con su objeto social, a los fondos de activos bancarios a que se refiere la disposición adicional décima de la Ley 9/2012, de 14 de noviembre. Tampoco se devengará el impuesto por las aportaciones o transmisiones que se produzcan entre los citados Fondos durante el período de mantenimiento de la exposición del Fondo de Reestructuración Ordenada Bancaria a los Fondos, previsto en el apartado 10 de dicha disposición adicional décima. </w:t>
      </w:r>
    </w:p>
    <w:p w14:paraId="0057AF3A" w14:textId="139DE8E2"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f) Los incrementos que se pongan de manifiesto con ocasión de las transmisiones y adjudicaciones que se efectúen como consecuencia de las operaciones de distribución de beneficios y cargas inherentes a la ejecución del planeamiento urbanístico, siempre que las adjudicaciones guarden proporción con las aportaciones efectuadas por los propietarios de suelo en la unidad de ejecución del planeamiento de que se trate, en los términos previstos en el apartado 7 del artículo 18 del Texto Refundido de la Ley del Suelo, aprobado por Real Decreto Legislativo 2/2008. Cuando el valor de las parcelas adjudicadas a un propietario exceda del que proporcionalmente corresponda a los terrenos aportados por el mismo, se entenderá efectuada una transmisión onerosa en cuanto al exceso. </w:t>
      </w:r>
    </w:p>
    <w:p w14:paraId="1D7AA46D" w14:textId="2BFBE066"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g) Los incrementos que se manifiesten con ocasión de las operaciones de fusión, escisión y aportación de ramas de actividad a las que resulte de aplicación el régimen especial regulado en el Capítulo VII del Título VII de la Ley 27/2014, del impuesto sobre Sociedades, a excepción de los relativos a terrenos que se aporten al amparo de lo previsto en el artículo 87 de la citada Ley cuando no se hallen integrados en una rama de actividad</w:t>
      </w:r>
      <w:r w:rsidR="00243667">
        <w:rPr>
          <w:rFonts w:eastAsia="Arial" w:cs="Times New Roman"/>
          <w:color w:val="000000"/>
          <w:sz w:val="24"/>
          <w:lang w:eastAsia="es-ES" w:bidi="ar-SA"/>
        </w:rPr>
        <w:t>.</w:t>
      </w:r>
    </w:p>
    <w:p w14:paraId="5347916E" w14:textId="78DC68AA"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h) Los incrementos que se pongan de manifiesto con ocasión de las adjudicaciones a los socios de inmuebles de naturaleza urbana de los que sea titular una sociedad civil que opte por su disolución con liquidación con arreglo al régimen especial previsto en la disposición adicional 19ª de la Ley 35/2006, reguladora del IRPF, en redacción dada por </w:t>
      </w:r>
      <w:proofErr w:type="spellStart"/>
      <w:r w:rsidRPr="008F3A7C">
        <w:rPr>
          <w:rFonts w:eastAsia="Arial" w:cs="Times New Roman"/>
          <w:color w:val="000000"/>
          <w:sz w:val="24"/>
          <w:lang w:eastAsia="es-ES" w:bidi="ar-SA"/>
        </w:rPr>
        <w:t>a</w:t>
      </w:r>
      <w:proofErr w:type="spellEnd"/>
      <w:r w:rsidRPr="008F3A7C">
        <w:rPr>
          <w:rFonts w:eastAsia="Arial" w:cs="Times New Roman"/>
          <w:color w:val="000000"/>
          <w:sz w:val="24"/>
          <w:lang w:eastAsia="es-ES" w:bidi="ar-SA"/>
        </w:rPr>
        <w:t xml:space="preserve"> Ley 26/2014. </w:t>
      </w:r>
    </w:p>
    <w:p w14:paraId="3B4CDA81" w14:textId="3AA84A21"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i) Los actos de adjudicación de bienes inmuebles realizados por las Cooperativas de Viviendas a favor de sus socios cooperativistas. </w:t>
      </w:r>
    </w:p>
    <w:p w14:paraId="44143EBD" w14:textId="65309DF1" w:rsidR="00243667"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j) Las operaciones relativas a los procesos de adscripción a una Sociedad Anónima Deportiva de nueva creación, siempre que se ajusten plenamente a las normas previstas en la Ley 10/1990, de 15 de octubre y Real Decreto 1084/1991, de 5 de julio</w:t>
      </w:r>
      <w:r w:rsidR="00243667">
        <w:rPr>
          <w:rFonts w:eastAsia="Arial" w:cs="Times New Roman"/>
          <w:color w:val="000000"/>
          <w:sz w:val="24"/>
          <w:lang w:eastAsia="es-ES" w:bidi="ar-SA"/>
        </w:rPr>
        <w:t>.</w:t>
      </w:r>
    </w:p>
    <w:p w14:paraId="4B3B7AD0" w14:textId="15280B1C" w:rsidR="004B3B50"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h) La retención o reserva del usufructo y la extinción del citado derecho real, ya sea por fallecimiento del usufructuario o por transcurso del plazo para el que fue constituido.</w:t>
      </w:r>
    </w:p>
    <w:p w14:paraId="0D5B5EB6" w14:textId="3C3EDB82" w:rsidR="008A369F"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Asimismo no se producirá la sujeción al impuesto en las transmisiones de terrenos respecto de los cuales se constate la inexistencia de incremento de valor por diferencia entre los valores de dichos terrenos en las fechas de transmisión y adquisición. </w:t>
      </w:r>
    </w:p>
    <w:p w14:paraId="7CD2C417" w14:textId="5277D5C1" w:rsidR="008A369F" w:rsidRPr="008F3A7C" w:rsidRDefault="008F3A7C" w:rsidP="008A369F">
      <w:pPr>
        <w:widowControl/>
        <w:pBdr>
          <w:top w:val="nil"/>
          <w:left w:val="nil"/>
          <w:bottom w:val="nil"/>
          <w:right w:val="nil"/>
          <w:between w:val="nil"/>
        </w:pBdr>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lastRenderedPageBreak/>
        <w:t>Para constatar la inexistencia de incremento de valor, como valor de transmisión o de adquisición del terreno se tomará en cada caso el mayor de los siguientes valores, sin que a estos efectos puedan computarse los gastos o tributos que graven dichas operaciones:</w:t>
      </w:r>
    </w:p>
    <w:p w14:paraId="3A7F3EF4" w14:textId="5A502A8C" w:rsidR="008A369F" w:rsidRPr="008F3A7C" w:rsidRDefault="008F3A7C" w:rsidP="008A369F">
      <w:pPr>
        <w:widowControl/>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a) El que conste en el título que documente la operación, o, cuando la adquisición o la transmisión hubiera sido a título lucrativo,  el declarado en el Impuesto sobre Sucesiones y Donaciones. </w:t>
      </w:r>
    </w:p>
    <w:p w14:paraId="1DBAC918" w14:textId="507D2A1B" w:rsidR="008A369F" w:rsidRPr="008F3A7C" w:rsidRDefault="008F3A7C" w:rsidP="008A369F">
      <w:pPr>
        <w:widowControl/>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b) El comprobado, en su caso, por la Administración tributaria.</w:t>
      </w:r>
    </w:p>
    <w:p w14:paraId="066CF3F8" w14:textId="77777777" w:rsidR="008F3A7C" w:rsidRPr="008F3A7C" w:rsidRDefault="008F3A7C" w:rsidP="008A369F">
      <w:pPr>
        <w:widowControl/>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Cuando se trate de la transmisión de un inmueble en el que haya suelo y construcción, se tomará como valor del suelo a estos efectos el que resulte de aplicar la proporción que represente en la fecha de devengo del impuesto el valor catastral del terreno respecto del valor catastral total y esta proporción se aplicará tanto al valor de transmisión como, en su caso, al de adquisición. </w:t>
      </w:r>
    </w:p>
    <w:p w14:paraId="1CD81510" w14:textId="77777777" w:rsidR="008F3A7C" w:rsidRPr="008F3A7C" w:rsidRDefault="008F3A7C" w:rsidP="008A369F">
      <w:pPr>
        <w:widowControl/>
        <w:shd w:val="clear" w:color="auto" w:fill="FFFFFF"/>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ab/>
        <w:t xml:space="preserve">El presente supuesto de no sujeción será aplicable a instancia del interesado, mediante la presentación de la correspondiente declaración o autoliquidación. </w:t>
      </w:r>
    </w:p>
    <w:p w14:paraId="28ACC17C" w14:textId="77777777" w:rsidR="008F3A7C" w:rsidRPr="008F3A7C" w:rsidRDefault="008F3A7C" w:rsidP="008A369F">
      <w:pPr>
        <w:widowControl/>
        <w:pBdr>
          <w:top w:val="nil"/>
          <w:left w:val="nil"/>
          <w:bottom w:val="nil"/>
          <w:right w:val="nil"/>
          <w:between w:val="nil"/>
        </w:pBdr>
        <w:shd w:val="clear" w:color="auto" w:fill="FFFFFF"/>
        <w:suppressAutoHyphens w:val="0"/>
        <w:spacing w:after="100" w:afterAutospacing="1"/>
        <w:jc w:val="both"/>
        <w:rPr>
          <w:rFonts w:eastAsia="Arial" w:cs="Times New Roman"/>
          <w:color w:val="000000"/>
          <w:sz w:val="24"/>
          <w:lang w:eastAsia="es-ES" w:bidi="ar-SA"/>
        </w:rPr>
      </w:pPr>
    </w:p>
    <w:p w14:paraId="06876E25"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1499287B"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III. EXENCIONES </w:t>
      </w:r>
    </w:p>
    <w:p w14:paraId="52B2C283"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2EDCEE89" w14:textId="77777777" w:rsidR="008F3A7C" w:rsidRPr="008F3A7C" w:rsidRDefault="008F3A7C" w:rsidP="008A369F">
      <w:pPr>
        <w:widowControl/>
        <w:shd w:val="clear" w:color="auto" w:fill="FFFFFF"/>
        <w:suppressAutoHyphens w:val="0"/>
        <w:spacing w:after="100" w:afterAutospacing="1"/>
        <w:ind w:firstLine="360"/>
        <w:jc w:val="both"/>
        <w:rPr>
          <w:rFonts w:eastAsia="Arial" w:cs="Times New Roman"/>
          <w:b/>
          <w:bCs/>
          <w:color w:val="000000"/>
          <w:sz w:val="24"/>
          <w:lang w:eastAsia="es-ES" w:bidi="ar-SA"/>
        </w:rPr>
      </w:pPr>
      <w:r w:rsidRPr="008F3A7C">
        <w:rPr>
          <w:rFonts w:eastAsia="Arial" w:cs="Times New Roman"/>
          <w:b/>
          <w:bCs/>
          <w:color w:val="000000"/>
          <w:sz w:val="24"/>
          <w:lang w:eastAsia="es-ES" w:bidi="ar-SA"/>
        </w:rPr>
        <w:t>Artículo 4.  Exenciones.</w:t>
      </w:r>
    </w:p>
    <w:p w14:paraId="6CB7DA87" w14:textId="77777777" w:rsidR="008F3A7C" w:rsidRPr="008F3A7C" w:rsidRDefault="008F3A7C" w:rsidP="008A369F">
      <w:pPr>
        <w:widowControl/>
        <w:shd w:val="clear" w:color="auto" w:fill="FFFFFF"/>
        <w:suppressAutoHyphens w:val="0"/>
        <w:spacing w:after="100" w:afterAutospacing="1"/>
        <w:jc w:val="both"/>
        <w:rPr>
          <w:rFonts w:eastAsia="Arial" w:cs="Times New Roman"/>
          <w:color w:val="000000"/>
          <w:sz w:val="24"/>
          <w:lang w:eastAsia="es-ES" w:bidi="ar-SA"/>
        </w:rPr>
      </w:pPr>
    </w:p>
    <w:p w14:paraId="11F869F5" w14:textId="1218A99E" w:rsidR="008A369F" w:rsidRPr="008F3A7C" w:rsidRDefault="008F3A7C" w:rsidP="008A369F">
      <w:pPr>
        <w:widowControl/>
        <w:shd w:val="clear" w:color="auto" w:fill="FFFFFF"/>
        <w:suppressAutoHyphens w:val="0"/>
        <w:spacing w:after="100" w:afterAutospacing="1"/>
        <w:ind w:firstLine="360"/>
        <w:jc w:val="both"/>
        <w:rPr>
          <w:rFonts w:eastAsia="Arial" w:cs="Times New Roman"/>
          <w:color w:val="000000"/>
          <w:sz w:val="24"/>
          <w:lang w:eastAsia="es-ES" w:bidi="ar-SA"/>
        </w:rPr>
      </w:pPr>
      <w:r w:rsidRPr="008F3A7C">
        <w:rPr>
          <w:rFonts w:eastAsia="Arial" w:cs="Times New Roman"/>
          <w:color w:val="000000"/>
          <w:sz w:val="24"/>
          <w:lang w:eastAsia="es-ES" w:bidi="ar-SA"/>
        </w:rPr>
        <w:t>1. Estarán exentos de este impuesto los incrementos de valor que se manifiesten como consecuencia de los siguientes actos:</w:t>
      </w:r>
    </w:p>
    <w:p w14:paraId="2279242C"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a) La constitución y transmisión de derechos de servidumbre.</w:t>
      </w:r>
    </w:p>
    <w:p w14:paraId="1C6D696E"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b) Las transmisiones de bienes que se encuentren dentro del perímetro delimitado como Conjunto Histórico-Artístico, o hayan sido declarados individualmente de interés cultural, según lo establecido en la Ley 16/1985, de 25 de junio, del Patrimonio Histórico Español, cuando sus propietarios o titulares de derechos reales acrediten que han realizado a su cargo obras de conservación, mejora o rehabilitación en dichos inmuebles. A estos efectos, la ordenanza fiscal establecerá los aspectos sustantivos y formales de la exención.</w:t>
      </w:r>
    </w:p>
    <w:p w14:paraId="2C725257"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c) Las transmisiones realizadas por personas físicas con ocasión de la dación en pago de la vivienda habitual del deudor hipotecario o garante del mismo, para la cancelación de deudas garantizadas con hipoteca que recaiga sobre la misma, contraídas con entidades de crédito o cualquier otra entidad que, de manera profesional, realice la actividad de concesión de préstamos o créditos hipotecarios.</w:t>
      </w:r>
    </w:p>
    <w:p w14:paraId="38CDA1FB"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Asimismo, estarán exentas las transmisiones de la vivienda en que concurran los requisitos anteriores, realizadas en ejecuciones hipotecarias judiciales o notariales.</w:t>
      </w:r>
    </w:p>
    <w:p w14:paraId="43CBF3DF"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Para tener derecho a la exención se requiere que el deudor o garante transmitente o cualquier otro miembro de su unidad familiar no disponga, en el momento de poder evitar la enajenación de la vivienda, de otros bienes o derechos en cuantía suficiente para satisfacer la totalidad de la deuda hipotecaria. Se presumirá el cumplimiento de este requisito. No obstante, si con posterioridad se comprobara lo contrario, se procederá a girar la liquidación tributaria correspondiente.</w:t>
      </w:r>
    </w:p>
    <w:p w14:paraId="02579C1D"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lastRenderedPageBreak/>
        <w:t>A estos efectos, se considerará vivienda habitual aquella en la que haya figurado empadronado el contribuyente de forma ininterrumpida durante, al menos, los dos años anteriores a la transmisión o desde el momento de la adquisición si dicho plazo fuese inferior a los dos años.</w:t>
      </w:r>
    </w:p>
    <w:p w14:paraId="760CBFCD"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Respecto al concepto de unidad familiar, se estará a lo dispuesto en la Ley 35/2006, de 28 de noviembre, del Impuesto sobre la Renta de las Personas Físicas y de modificación parcial de las leyes de los Impuestos sobre Sociedades, sobre la Renta de no Residentes y sobre el Patrimonio. A estos efectos, se equiparará el matrimonio con la pareja de hecho legalmente inscrita.</w:t>
      </w:r>
    </w:p>
    <w:p w14:paraId="62270F50"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Respecto de esta exención, no resultará de aplicación lo dispuesto en el artículo 9.2 de esta Ley.</w:t>
      </w:r>
    </w:p>
    <w:p w14:paraId="0F8359F1"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2. Asimismo, estarán exentos de este impuesto los correspondientes incrementos de valor cuando la obligación de satisfacer aquél recaiga sobre las siguientes personas o entidades:</w:t>
      </w:r>
    </w:p>
    <w:p w14:paraId="3D1E18EA"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a) El Estado, las comunidades autónomas y las entidades locales, a las que pertenezca el municipio, así como los organismos autónomos del Estado y las entidades de derecho público de análogo carácter de las comunidades autónomas y de dichas entidades locales.</w:t>
      </w:r>
    </w:p>
    <w:p w14:paraId="46AEA2D9"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b) El municipio de la imposición y demás entidades locales integradas o en las que se integre dicho municipio, así como sus respectivas entidades de derecho público de análogo carácter a los organismos autónomos del Estado.</w:t>
      </w:r>
    </w:p>
    <w:p w14:paraId="34AA3081"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c) Las instituciones que tengan la calificación de benéficas o de benéfico-docentes.</w:t>
      </w:r>
    </w:p>
    <w:p w14:paraId="00139E42"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d) Las entidades gestoras de la Seguridad Social y las mutualidades de previsión social reguladas en la Ley 30/1995, de 8 de noviembre, de ordenación y supervisión de los seguros privados.</w:t>
      </w:r>
    </w:p>
    <w:p w14:paraId="0BAAF1D8"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 Los titulares de concesiones administrativas </w:t>
      </w:r>
      <w:proofErr w:type="spellStart"/>
      <w:r w:rsidRPr="008F3A7C">
        <w:rPr>
          <w:rFonts w:eastAsia="Arial" w:cs="Times New Roman"/>
          <w:color w:val="000000"/>
          <w:sz w:val="24"/>
          <w:lang w:eastAsia="es-ES" w:bidi="ar-SA"/>
        </w:rPr>
        <w:t>revertibles</w:t>
      </w:r>
      <w:proofErr w:type="spellEnd"/>
      <w:r w:rsidRPr="008F3A7C">
        <w:rPr>
          <w:rFonts w:eastAsia="Arial" w:cs="Times New Roman"/>
          <w:color w:val="000000"/>
          <w:sz w:val="24"/>
          <w:lang w:eastAsia="es-ES" w:bidi="ar-SA"/>
        </w:rPr>
        <w:t xml:space="preserve"> respecto a los terrenos afectos a éstas.</w:t>
      </w:r>
    </w:p>
    <w:p w14:paraId="380C90DC"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f) La Cruz Roja Española.</w:t>
      </w:r>
    </w:p>
    <w:p w14:paraId="551E218E"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g) Las personas o entidades a cuyo favor se haya reconocido la exención en tratados o convenios internacionales.</w:t>
      </w:r>
    </w:p>
    <w:p w14:paraId="7FFA1FD8" w14:textId="77777777" w:rsidR="008F3A7C" w:rsidRPr="008F3A7C" w:rsidRDefault="008F3A7C" w:rsidP="008A369F">
      <w:pPr>
        <w:widowControl/>
        <w:shd w:val="clear" w:color="auto" w:fill="FFFFFF"/>
        <w:suppressAutoHyphens w:val="0"/>
        <w:spacing w:after="100" w:afterAutospacing="1"/>
        <w:ind w:firstLine="357"/>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 </w:t>
      </w:r>
    </w:p>
    <w:p w14:paraId="39A4AAD0"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IV. SUJETOS PASIVOS</w:t>
      </w:r>
    </w:p>
    <w:p w14:paraId="7D39C573"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2C58CF74"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bCs/>
          <w:color w:val="000000"/>
          <w:sz w:val="24"/>
          <w:lang w:eastAsia="es-ES" w:bidi="ar-SA"/>
        </w:rPr>
      </w:pPr>
      <w:r w:rsidRPr="008F3A7C">
        <w:rPr>
          <w:rFonts w:eastAsia="Arial" w:cs="Times New Roman"/>
          <w:b/>
          <w:bCs/>
          <w:color w:val="000000"/>
          <w:sz w:val="24"/>
          <w:lang w:eastAsia="es-ES" w:bidi="ar-SA"/>
        </w:rPr>
        <w:t>Artículo 5. Sujetos pasivos</w:t>
      </w:r>
    </w:p>
    <w:p w14:paraId="661B6696"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color w:val="000000"/>
          <w:sz w:val="24"/>
          <w:lang w:eastAsia="es-ES" w:bidi="ar-SA"/>
        </w:rPr>
      </w:pPr>
    </w:p>
    <w:p w14:paraId="443B7357"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1. Tendrán la condición de sujetos pasivos de este Impuesto, a título de contribuyente: </w:t>
      </w:r>
    </w:p>
    <w:p w14:paraId="37C4AB32"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 </w:t>
      </w:r>
    </w:p>
    <w:p w14:paraId="0EE867CC" w14:textId="77777777" w:rsidR="008F3A7C" w:rsidRPr="008F3A7C" w:rsidRDefault="008F3A7C" w:rsidP="008A369F">
      <w:pPr>
        <w:widowControl/>
        <w:numPr>
          <w:ilvl w:val="0"/>
          <w:numId w:val="6"/>
        </w:numPr>
        <w:pBdr>
          <w:top w:val="nil"/>
          <w:left w:val="nil"/>
          <w:bottom w:val="nil"/>
          <w:right w:val="nil"/>
          <w:between w:val="nil"/>
        </w:pBd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las transmisiones de terrenos o en la constitución o transmisión de derechos reales de goce limitativos del dominio a título lucrativo, la persona física o jurídica, o la entidad a que se refiere el artículo 35.4 de la Ley 58/2003, de 17 de diciembre, General Tributaria, que adquiera el terreno o a cuyo favor se constituya o transmita el derecho real de que se trate. </w:t>
      </w:r>
    </w:p>
    <w:p w14:paraId="04E2AD4B" w14:textId="77777777" w:rsidR="008F3A7C" w:rsidRPr="008F3A7C" w:rsidRDefault="008F3A7C" w:rsidP="008A369F">
      <w:pPr>
        <w:widowControl/>
        <w:pBdr>
          <w:top w:val="nil"/>
          <w:left w:val="nil"/>
          <w:bottom w:val="nil"/>
          <w:right w:val="nil"/>
          <w:between w:val="nil"/>
        </w:pBdr>
        <w:suppressAutoHyphens w:val="0"/>
        <w:spacing w:after="100" w:afterAutospacing="1"/>
        <w:contextualSpacing/>
        <w:jc w:val="both"/>
        <w:rPr>
          <w:rFonts w:eastAsia="Arial" w:cs="Times New Roman"/>
          <w:color w:val="000000"/>
          <w:sz w:val="24"/>
          <w:lang w:eastAsia="es-ES" w:bidi="ar-SA"/>
        </w:rPr>
      </w:pPr>
    </w:p>
    <w:p w14:paraId="071EC1DC" w14:textId="77777777" w:rsidR="008F3A7C" w:rsidRPr="008F3A7C" w:rsidRDefault="008F3A7C" w:rsidP="008A369F">
      <w:pPr>
        <w:widowControl/>
        <w:numPr>
          <w:ilvl w:val="0"/>
          <w:numId w:val="6"/>
        </w:numPr>
        <w:pBdr>
          <w:top w:val="nil"/>
          <w:left w:val="nil"/>
          <w:bottom w:val="nil"/>
          <w:right w:val="nil"/>
          <w:between w:val="nil"/>
        </w:pBd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las transmisiones de terrenos o en la constitución o transmisión de derechos reales de goce limitativos del dominio a título oneroso, la  persona física o jurídica, o la entidad a que se refiere </w:t>
      </w:r>
      <w:r w:rsidRPr="008F3A7C">
        <w:rPr>
          <w:rFonts w:eastAsia="Arial" w:cs="Times New Roman"/>
          <w:color w:val="000000"/>
          <w:sz w:val="24"/>
          <w:lang w:eastAsia="es-ES" w:bidi="ar-SA"/>
        </w:rPr>
        <w:lastRenderedPageBreak/>
        <w:t xml:space="preserve">el artículo 35.4 de la Ley General Tributaria, que transmita el terreno o que constituya o transmita el derecho real de que se trate. </w:t>
      </w:r>
    </w:p>
    <w:p w14:paraId="41FFBD75" w14:textId="77777777" w:rsidR="008F3A7C" w:rsidRPr="008F3A7C" w:rsidRDefault="008F3A7C" w:rsidP="008A369F">
      <w:pPr>
        <w:widowControl/>
        <w:pBdr>
          <w:top w:val="nil"/>
          <w:left w:val="nil"/>
          <w:bottom w:val="nil"/>
          <w:right w:val="nil"/>
          <w:between w:val="nil"/>
        </w:pBdr>
        <w:suppressAutoHyphens w:val="0"/>
        <w:spacing w:after="100" w:afterAutospacing="1"/>
        <w:ind w:firstLine="50"/>
        <w:jc w:val="both"/>
        <w:rPr>
          <w:rFonts w:eastAsia="Arial" w:cs="Times New Roman"/>
          <w:color w:val="000000"/>
          <w:sz w:val="24"/>
          <w:lang w:eastAsia="es-ES" w:bidi="ar-SA"/>
        </w:rPr>
      </w:pPr>
    </w:p>
    <w:p w14:paraId="0B14159D"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En los supuestos a que se refiere la letra b) del apartado anterior, tendrá la consideración de sujeto pasivo sustituto del contribuyente, la persona física o jurídica, o la entidad a que se refiere el artículo 35.4 de la Ley General Tributaria, que adquiera el terreno o a cuyo favor se constituya o transmita el derecho real de que se trate, cuando el contribuyente sea una persona física no residente en España. </w:t>
      </w:r>
    </w:p>
    <w:p w14:paraId="074817FE" w14:textId="69B548AC"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73CD2018"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V. BASE IMPONIBLE </w:t>
      </w:r>
    </w:p>
    <w:p w14:paraId="23C8E3A8" w14:textId="37BAFBE7" w:rsidR="008F3A7C" w:rsidRPr="008F3A7C" w:rsidRDefault="008F3A7C" w:rsidP="00D91BEC">
      <w:pPr>
        <w:widowControl/>
        <w:suppressAutoHyphens w:val="0"/>
        <w:spacing w:after="100" w:afterAutospacing="1"/>
        <w:rPr>
          <w:rFonts w:eastAsiaTheme="minorHAnsi" w:cs="Times New Roman"/>
          <w:sz w:val="24"/>
          <w:lang w:eastAsia="en-US" w:bidi="ar-SA"/>
        </w:rPr>
      </w:pPr>
    </w:p>
    <w:p w14:paraId="6CD278FF"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 xml:space="preserve">Artículo </w:t>
      </w:r>
      <w:r w:rsidRPr="008F3A7C">
        <w:rPr>
          <w:rFonts w:eastAsia="Arial" w:cs="Times New Roman"/>
          <w:b/>
          <w:iCs/>
          <w:color w:val="000000"/>
          <w:sz w:val="24"/>
          <w:lang w:eastAsia="es-ES" w:bidi="ar-SA"/>
        </w:rPr>
        <w:t>6.</w:t>
      </w:r>
      <w:r w:rsidRPr="008F3A7C">
        <w:rPr>
          <w:rFonts w:eastAsia="Arial" w:cs="Times New Roman"/>
          <w:b/>
          <w:color w:val="000000"/>
          <w:sz w:val="24"/>
          <w:lang w:eastAsia="es-ES" w:bidi="ar-SA"/>
        </w:rPr>
        <w:t xml:space="preserve"> Base imponible  </w:t>
      </w:r>
    </w:p>
    <w:p w14:paraId="6178CE17"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 </w:t>
      </w:r>
    </w:p>
    <w:p w14:paraId="72872125"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1. La base imponible de este Impuesto está constituida por el incremento real de valor de los terrenos de naturaleza urbana puesto de manifiesto en el momento del devengo y experimentado a lo largo de un período máximo de veinte años. </w:t>
      </w:r>
    </w:p>
    <w:p w14:paraId="450F6BA5" w14:textId="1B5E9394" w:rsidR="008F3A7C" w:rsidRPr="008F3A7C" w:rsidRDefault="008F3A7C" w:rsidP="00D91BEC">
      <w:pPr>
        <w:widowControl/>
        <w:pBdr>
          <w:top w:val="nil"/>
          <w:left w:val="nil"/>
          <w:bottom w:val="nil"/>
          <w:right w:val="nil"/>
          <w:between w:val="nil"/>
        </w:pBdr>
        <w:suppressAutoHyphens w:val="0"/>
        <w:spacing w:after="100" w:afterAutospacing="1"/>
        <w:jc w:val="both"/>
        <w:rPr>
          <w:rFonts w:eastAsia="Arial" w:cs="Times New Roman"/>
          <w:color w:val="000000"/>
          <w:sz w:val="24"/>
          <w:lang w:eastAsia="es-ES" w:bidi="ar-SA"/>
        </w:rPr>
      </w:pPr>
    </w:p>
    <w:p w14:paraId="7BA185A9" w14:textId="77777777" w:rsidR="008F3A7C" w:rsidRPr="008F3A7C" w:rsidRDefault="008F3A7C" w:rsidP="008A369F">
      <w:pPr>
        <w:pBdr>
          <w:top w:val="nil"/>
          <w:left w:val="nil"/>
          <w:bottom w:val="nil"/>
          <w:right w:val="nil"/>
          <w:between w:val="nil"/>
        </w:pBd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Para determinar la base imponible,  mediante el método de estimación objetiva, se multiplicará el valor del terreno en el momento del devengo por el coeficiente que corresponda al periodo de generación conforme a las reglas previstas en el artículo siguiente. </w:t>
      </w:r>
    </w:p>
    <w:p w14:paraId="7E9193BC" w14:textId="77777777" w:rsidR="008F3A7C" w:rsidRPr="008F3A7C" w:rsidRDefault="008F3A7C" w:rsidP="008A369F">
      <w:pPr>
        <w:pBdr>
          <w:top w:val="nil"/>
          <w:left w:val="nil"/>
          <w:bottom w:val="nil"/>
          <w:right w:val="nil"/>
          <w:between w:val="nil"/>
        </w:pBdr>
        <w:suppressAutoHyphens w:val="0"/>
        <w:spacing w:after="100" w:afterAutospacing="1"/>
        <w:jc w:val="both"/>
        <w:rPr>
          <w:rFonts w:eastAsia="Arial" w:cs="Times New Roman"/>
          <w:color w:val="000000"/>
          <w:sz w:val="24"/>
          <w:lang w:eastAsia="es-ES" w:bidi="ar-SA"/>
        </w:rPr>
      </w:pPr>
    </w:p>
    <w:p w14:paraId="31DD9081" w14:textId="77777777" w:rsidR="008F3A7C" w:rsidRPr="008F3A7C" w:rsidRDefault="008F3A7C" w:rsidP="008A369F">
      <w:pPr>
        <w:pBdr>
          <w:top w:val="nil"/>
          <w:left w:val="nil"/>
          <w:bottom w:val="nil"/>
          <w:right w:val="nil"/>
          <w:between w:val="nil"/>
        </w:pBd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3. Cuando, a instancia del sujeto pasivo conforme al procedimiento establecido en el apartado 2 del artículo </w:t>
      </w:r>
      <w:r w:rsidRPr="008F3A7C">
        <w:rPr>
          <w:rFonts w:eastAsia="Arial" w:cs="Times New Roman"/>
          <w:bCs/>
          <w:i/>
          <w:color w:val="000000"/>
          <w:sz w:val="24"/>
          <w:lang w:eastAsia="es-ES" w:bidi="ar-SA"/>
        </w:rPr>
        <w:t>3</w:t>
      </w:r>
      <w:r w:rsidRPr="008F3A7C">
        <w:rPr>
          <w:rFonts w:eastAsia="Arial" w:cs="Times New Roman"/>
          <w:bCs/>
          <w:color w:val="000000"/>
          <w:sz w:val="24"/>
          <w:lang w:eastAsia="es-ES" w:bidi="ar-SA"/>
        </w:rPr>
        <w:t>,</w:t>
      </w:r>
      <w:r w:rsidRPr="008F3A7C">
        <w:rPr>
          <w:rFonts w:eastAsia="Arial" w:cs="Times New Roman"/>
          <w:color w:val="000000"/>
          <w:sz w:val="24"/>
          <w:lang w:eastAsia="es-ES" w:bidi="ar-SA"/>
        </w:rPr>
        <w:t xml:space="preserve"> se constate que el importe del incremento de valor es inferior al importe de la base imponible determinada mediante el método de estimación objetiva, se tomará como base imponible el importe de dicho incremento de valor.</w:t>
      </w:r>
    </w:p>
    <w:p w14:paraId="1BFD6C6C"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p>
    <w:p w14:paraId="6435309E"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4. El periodo de generación del incremento de valor será el número de años a lo largo de los cuales se haya puesto de manifiesto dicho incremento. Para su cómputo, se tomarán los años completos, es decir, sin tener en cuenta las fracciones de año. En el caso de que el periodo de generación sea inferior a un año, se prorrateará el coeficiente anual teniendo en cuenta el número de meses completos, es decir, sin tener en cuenta las fracciones de mes.</w:t>
      </w:r>
    </w:p>
    <w:p w14:paraId="6796FEE1"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 </w:t>
      </w:r>
    </w:p>
    <w:p w14:paraId="26BCE3A5" w14:textId="77777777" w:rsidR="008F3A7C" w:rsidRPr="008F3A7C" w:rsidRDefault="008F3A7C" w:rsidP="008A369F">
      <w:pP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En los supuestos de no sujeción, salvo que por ley se indique otra cosa, para el cálculo del periodo de generación del incremento de valor puesto de manifiesto en una posterior transmisión del terreno, se tomará como fecha de adquisición, a los efectos de lo dispuesto en el párrafo anterior, aquella en la que se produjo el anterior devengo del impuesto.</w:t>
      </w:r>
    </w:p>
    <w:p w14:paraId="3775E59E" w14:textId="77777777" w:rsidR="008F3A7C" w:rsidRPr="008F3A7C" w:rsidRDefault="008F3A7C" w:rsidP="008A369F">
      <w:pPr>
        <w:widowControl/>
        <w:shd w:val="clear" w:color="auto" w:fill="FFFFFF"/>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No obstante, en la posterior transmisión de los inmuebles a los que se refiere el apartado 2 del artículo </w:t>
      </w:r>
      <w:r w:rsidRPr="008F3A7C">
        <w:rPr>
          <w:rFonts w:eastAsia="Arial" w:cs="Times New Roman"/>
          <w:b/>
          <w:i/>
          <w:color w:val="000000"/>
          <w:sz w:val="24"/>
          <w:lang w:eastAsia="es-ES" w:bidi="ar-SA"/>
        </w:rPr>
        <w:t>I,</w:t>
      </w:r>
      <w:r w:rsidRPr="008F3A7C">
        <w:rPr>
          <w:rFonts w:eastAsia="Arial" w:cs="Times New Roman"/>
          <w:color w:val="000000"/>
          <w:sz w:val="24"/>
          <w:lang w:eastAsia="es-ES" w:bidi="ar-SA"/>
        </w:rPr>
        <w:t xml:space="preserve"> para el cómputo del número de años a lo largo de los cuales se ha puesto de manifiesto el incremento de valor de los terrenos, no se tendrá en cuenta el periodo anterior a su adquisición. Lo dispuesto en este párrafo no será de aplicación en los supuestos de aportaciones o transmisiones de bienes inmuebles que resulten no sujetas en virtud de lo dispuesto en la letra b) del apartado 1 del artículo </w:t>
      </w:r>
      <w:r w:rsidRPr="008F3A7C">
        <w:rPr>
          <w:rFonts w:eastAsia="Arial" w:cs="Times New Roman"/>
          <w:bCs/>
          <w:iCs/>
          <w:color w:val="000000"/>
          <w:sz w:val="24"/>
          <w:lang w:eastAsia="es-ES" w:bidi="ar-SA"/>
        </w:rPr>
        <w:t>3</w:t>
      </w:r>
      <w:r w:rsidRPr="008F3A7C">
        <w:rPr>
          <w:rFonts w:eastAsia="Arial" w:cs="Times New Roman"/>
          <w:color w:val="000000"/>
          <w:sz w:val="24"/>
          <w:lang w:eastAsia="es-ES" w:bidi="ar-SA"/>
        </w:rPr>
        <w:t>, o en la disposición adicional segunda de la Ley 27/2014, de 27 de noviembre, del Impuesto sobre Sociedades.</w:t>
      </w:r>
    </w:p>
    <w:p w14:paraId="40F6AC79" w14:textId="77777777" w:rsidR="008F3A7C" w:rsidRPr="008F3A7C" w:rsidRDefault="008F3A7C" w:rsidP="008A369F">
      <w:pPr>
        <w:suppressAutoHyphens w:val="0"/>
        <w:spacing w:after="100" w:afterAutospacing="1"/>
        <w:ind w:hanging="10"/>
        <w:jc w:val="both"/>
        <w:rPr>
          <w:rFonts w:eastAsia="Arial" w:cs="Times New Roman"/>
          <w:color w:val="000000"/>
          <w:sz w:val="24"/>
          <w:lang w:eastAsia="es-ES" w:bidi="ar-SA"/>
        </w:rPr>
      </w:pPr>
    </w:p>
    <w:p w14:paraId="52438223" w14:textId="77777777" w:rsidR="008F3A7C" w:rsidRPr="008F3A7C" w:rsidRDefault="008F3A7C" w:rsidP="008A369F">
      <w:pP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5 Cuando el terreno hubiese sido adquirido por el transmitente por cuotas o porciones en fechas diferentes, se considerarán tantas bases imponibles como fechas de adquisición estableciéndose cada base en la siguiente forma:</w:t>
      </w:r>
    </w:p>
    <w:p w14:paraId="02E44CF0" w14:textId="77777777" w:rsidR="008F3A7C" w:rsidRPr="008F3A7C" w:rsidRDefault="008F3A7C" w:rsidP="008A369F">
      <w:pPr>
        <w:suppressAutoHyphens w:val="0"/>
        <w:spacing w:after="100" w:afterAutospacing="1"/>
        <w:ind w:hanging="10"/>
        <w:jc w:val="both"/>
        <w:rPr>
          <w:rFonts w:eastAsia="Arial" w:cs="Times New Roman"/>
          <w:color w:val="000000"/>
          <w:sz w:val="24"/>
          <w:lang w:eastAsia="es-ES" w:bidi="ar-SA"/>
        </w:rPr>
      </w:pPr>
    </w:p>
    <w:p w14:paraId="0B684CF6"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1) Se distribuirá el valor del terreno proporcionalmente a la porción o cuota adquirida en cada fecha.</w:t>
      </w:r>
    </w:p>
    <w:p w14:paraId="3B5D2E92"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00D0602A"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2) A cada parte proporcional, se aplicará el porcentaje de incremento correspondiente al período respectivo de generación del incremento de valor.</w:t>
      </w:r>
    </w:p>
    <w:p w14:paraId="6EA47481"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p>
    <w:p w14:paraId="36167552"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 xml:space="preserve">Artículo </w:t>
      </w:r>
      <w:r w:rsidRPr="008F3A7C">
        <w:rPr>
          <w:rFonts w:eastAsia="Arial" w:cs="Times New Roman"/>
          <w:b/>
          <w:i/>
          <w:color w:val="000000"/>
          <w:sz w:val="24"/>
          <w:lang w:eastAsia="es-ES" w:bidi="ar-SA"/>
        </w:rPr>
        <w:t xml:space="preserve">7. </w:t>
      </w:r>
      <w:r w:rsidRPr="008F3A7C">
        <w:rPr>
          <w:rFonts w:eastAsia="Arial" w:cs="Times New Roman"/>
          <w:b/>
          <w:color w:val="000000"/>
          <w:sz w:val="24"/>
          <w:lang w:eastAsia="es-ES" w:bidi="ar-SA"/>
        </w:rPr>
        <w:t xml:space="preserve"> Estimación objetiva de la base imponible. </w:t>
      </w:r>
    </w:p>
    <w:p w14:paraId="169F9964"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5194A0AF" w14:textId="572FC067" w:rsidR="008F3A7C" w:rsidRPr="008F3A7C" w:rsidRDefault="008F3A7C" w:rsidP="008A369F">
      <w:pP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1. El valor del terreno en el momento del devengo resultará de lo establecido en las siguientes reglas:</w:t>
      </w:r>
    </w:p>
    <w:p w14:paraId="6E484BCA" w14:textId="5DF51D7C"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a) En las transmisiones de terrenos, el valor de estos en el momento del devengo será el que tengan determinado en dicho momento a efectos del Impuesto sobre Bienes Inmuebles.</w:t>
      </w:r>
    </w:p>
    <w:p w14:paraId="66906616"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No obstante, cuando dicho valor sea consecuencia de una ponencia de valores que no refleje modificaciones de planeamiento aprobadas con posterioridad a la aprobación de la citada ponencia, se podrá liquidar provisionalmente este impuesto con arreglo a aquel. En estos casos, en la liquidación definitiva se aplicará el valor de los terrenos una vez se haya obtenido conforme a los procedimientos de valoración colectiva que se instruyan, referido a la fecha del devengo. Cuando esta fecha no coincida con la de efectividad de los nuevos valores catastrales, estos se corregirán aplicando los coeficientes de actualización que correspondan, establecidos al efecto en las leyes de presupuestos generales del Estado.</w:t>
      </w:r>
    </w:p>
    <w:p w14:paraId="4CA954CD"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17270B26" w14:textId="429EAE21"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Cuando el terreno, aun siendo de naturaleza urbana o integrado en un bien inmueble de características especiales, en el momento del devengo del impuesto, no tenga determinado valor catastral en dicho momento, el ayuntamiento podrá practicar la liquidación cuando el referido valor catastral sea determinado, refiriendo dicho valor al momento del devengo.</w:t>
      </w:r>
    </w:p>
    <w:p w14:paraId="4FE38001" w14:textId="77777777" w:rsidR="008F3A7C" w:rsidRPr="008F3A7C" w:rsidRDefault="008F3A7C" w:rsidP="008A369F">
      <w:pPr>
        <w:suppressAutoHyphens w:val="0"/>
        <w:spacing w:after="100" w:afterAutospacing="1"/>
        <w:jc w:val="both"/>
        <w:rPr>
          <w:rFonts w:eastAsia="Arial" w:cs="Times New Roman"/>
          <w:i/>
          <w:color w:val="000000"/>
          <w:sz w:val="24"/>
          <w:lang w:eastAsia="es-ES" w:bidi="ar-SA"/>
        </w:rPr>
      </w:pPr>
    </w:p>
    <w:p w14:paraId="65B27FFA" w14:textId="1141DDB5"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Sobre el valor señalado en los párrafos anteriores se  aplicará  un coeficiente reductor  del </w:t>
      </w:r>
      <w:r w:rsidR="00C22FD4" w:rsidRPr="0018792E">
        <w:rPr>
          <w:rFonts w:eastAsia="Arial" w:cs="Times New Roman"/>
          <w:b/>
          <w:bCs/>
          <w:color w:val="000000"/>
          <w:sz w:val="24"/>
          <w:lang w:eastAsia="es-ES" w:bidi="ar-SA"/>
        </w:rPr>
        <w:t>0</w:t>
      </w:r>
      <w:r w:rsidRPr="008F3A7C">
        <w:rPr>
          <w:rFonts w:eastAsia="Arial" w:cs="Times New Roman"/>
          <w:b/>
          <w:bCs/>
          <w:color w:val="000000"/>
          <w:sz w:val="24"/>
          <w:lang w:eastAsia="es-ES" w:bidi="ar-SA"/>
        </w:rPr>
        <w:t xml:space="preserve"> %</w:t>
      </w:r>
      <w:r w:rsidRPr="008F3A7C">
        <w:rPr>
          <w:rFonts w:eastAsia="Arial" w:cs="Times New Roman"/>
          <w:color w:val="000000"/>
          <w:sz w:val="24"/>
          <w:lang w:eastAsia="es-ES" w:bidi="ar-SA"/>
        </w:rPr>
        <w:t xml:space="preserve">.   </w:t>
      </w:r>
    </w:p>
    <w:p w14:paraId="0BE47CF4"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579A5C07"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b) En la constitución y transmisión de derechos reales de goce limitativos del dominio, los porcentajes anuales contenidos en el apartado 3 de este artículo se aplicarán sobre la parte del valor definido en el párrafo a) anterior que represente, respecto de aquel, el valor de los referidos derechos calculado mediante la aplicación de las normas fijadas a efectos del Impuesto sobre Transmisiones Patrimoniales y Actos Jurídicos Documentados.</w:t>
      </w:r>
    </w:p>
    <w:p w14:paraId="57C96C02"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65415F0B"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c) En la constitución o transmisión del derecho a elevar una o más plantas sobre un edificio o terreno, o del derecho de realizar la construcción bajo suelo sin implicar la existencia de un derecho real de superficie, los porcentajes anuales contenidos en el apartado 3 de este artículo </w:t>
      </w:r>
      <w:r w:rsidRPr="008F3A7C">
        <w:rPr>
          <w:rFonts w:eastAsia="Arial" w:cs="Times New Roman"/>
          <w:color w:val="000000"/>
          <w:sz w:val="24"/>
          <w:lang w:eastAsia="es-ES" w:bidi="ar-SA"/>
        </w:rPr>
        <w:lastRenderedPageBreak/>
        <w:t>se aplicarán sobre la parte del valor definido en el párrafo a) que represente, respecto de aquel, el módulo de proporcionalidad fijado en la escritura de transmisión o, en su defecto, el que resulte de establecer la proporción entre la superficie o volumen de las plantas a construir en vuelo o subsuelo y la total superficie o volumen edificados una vez construidas aquellas.</w:t>
      </w:r>
    </w:p>
    <w:p w14:paraId="17E80C6E"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3C318CDC"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d) En los supuestos de expropiaciones forzosas, los porcentajes anuales contenidos en el apartado 3 de este artículo se aplicarán sobre la parte del justiprecio que corresponda al valor del terreno, salvo que el valor definido en el párrafo a) de este apartado fuese inferior, en cuyo caso prevalecerá este último sobre el justiprecio.</w:t>
      </w:r>
    </w:p>
    <w:p w14:paraId="53F5B6E7"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147693BD"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e) En las transmisiones de partes indivisas de terrenos o edificios, su valor será proporcional a la porción o cuota transmitida.</w:t>
      </w:r>
    </w:p>
    <w:p w14:paraId="240E68A4"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57D13125"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f) En las transmisiones de pisos o locales en régimen de propiedad horizontal, su valor será el específico del suelo que cada finca o local tuviere determinado en el Impuesto sobre Bienes Inmuebles, y si no lo tuviere todavía determinado su valor se estimará proporcional a la cuota de copropiedad que tengan atribuida en el valor del inmueble y sus elementos comunes.</w:t>
      </w:r>
    </w:p>
    <w:p w14:paraId="21AEE91F"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4E320322" w14:textId="1FA4CF55" w:rsidR="008F3A7C" w:rsidRPr="008F3A7C" w:rsidRDefault="008F3A7C" w:rsidP="008A369F">
      <w:pPr>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Cuando se modifiquen los valores catastrales como consecuencia de un procedimiento de valoración colectiva de carácter general, se tomará como valor del terreno, o de la parte de este que corresponda según las reglas contenidas en el apartado anterior, el importe que resulte de aplicar a los nuevos valores catastrales una reducción del </w:t>
      </w:r>
      <w:r w:rsidR="00C22FD4" w:rsidRPr="0018792E">
        <w:rPr>
          <w:rFonts w:eastAsia="Arial" w:cs="Times New Roman"/>
          <w:b/>
          <w:bCs/>
          <w:color w:val="000000"/>
          <w:sz w:val="24"/>
          <w:lang w:eastAsia="es-ES" w:bidi="ar-SA"/>
        </w:rPr>
        <w:t>40</w:t>
      </w:r>
      <w:r w:rsidRPr="008F3A7C">
        <w:rPr>
          <w:rFonts w:eastAsia="Arial" w:cs="Times New Roman"/>
          <w:b/>
          <w:bCs/>
          <w:color w:val="000000"/>
          <w:sz w:val="24"/>
          <w:lang w:eastAsia="es-ES" w:bidi="ar-SA"/>
        </w:rPr>
        <w:t xml:space="preserve"> %.</w:t>
      </w:r>
      <w:r w:rsidRPr="008F3A7C">
        <w:rPr>
          <w:rFonts w:eastAsia="Arial" w:cs="Times New Roman"/>
          <w:i/>
          <w:color w:val="000000"/>
          <w:sz w:val="24"/>
          <w:lang w:eastAsia="es-ES" w:bidi="ar-SA"/>
        </w:rPr>
        <w:t xml:space="preserve"> </w:t>
      </w:r>
      <w:r w:rsidR="00C22FD4">
        <w:rPr>
          <w:rFonts w:eastAsia="Arial" w:cs="Times New Roman"/>
          <w:color w:val="000000"/>
          <w:sz w:val="24"/>
          <w:lang w:eastAsia="es-ES" w:bidi="ar-SA"/>
        </w:rPr>
        <w:t>Esta</w:t>
      </w:r>
      <w:r w:rsidRPr="008F3A7C">
        <w:rPr>
          <w:rFonts w:eastAsia="Arial" w:cs="Times New Roman"/>
          <w:color w:val="000000"/>
          <w:sz w:val="24"/>
          <w:lang w:eastAsia="es-ES" w:bidi="ar-SA"/>
        </w:rPr>
        <w:t xml:space="preserve"> reducción</w:t>
      </w:r>
      <w:r w:rsidR="00C22FD4">
        <w:rPr>
          <w:rFonts w:eastAsia="Arial" w:cs="Times New Roman"/>
          <w:color w:val="000000"/>
          <w:sz w:val="24"/>
          <w:lang w:eastAsia="es-ES" w:bidi="ar-SA"/>
        </w:rPr>
        <w:t xml:space="preserve"> </w:t>
      </w:r>
      <w:r w:rsidRPr="008F3A7C">
        <w:rPr>
          <w:rFonts w:eastAsia="Arial" w:cs="Times New Roman"/>
          <w:color w:val="000000"/>
          <w:sz w:val="24"/>
          <w:lang w:eastAsia="es-ES" w:bidi="ar-SA"/>
        </w:rPr>
        <w:t xml:space="preserve"> se aplicará respecto de cada uno de los cinco primeros años de efectividad de los nuevos valores catastrales. </w:t>
      </w:r>
    </w:p>
    <w:p w14:paraId="6FAF0405" w14:textId="77777777" w:rsidR="008F3A7C" w:rsidRPr="008F3A7C" w:rsidRDefault="008F3A7C" w:rsidP="008A369F">
      <w:pPr>
        <w:suppressAutoHyphens w:val="0"/>
        <w:spacing w:after="100" w:afterAutospacing="1"/>
        <w:jc w:val="both"/>
        <w:rPr>
          <w:rFonts w:eastAsia="Arial" w:cs="Times New Roman"/>
          <w:color w:val="000000"/>
          <w:sz w:val="24"/>
          <w:lang w:eastAsia="es-ES" w:bidi="ar-SA"/>
        </w:rPr>
      </w:pPr>
    </w:p>
    <w:p w14:paraId="283A1766" w14:textId="0C8BEBCD" w:rsidR="008F3A7C" w:rsidRPr="008F3A7C" w:rsidRDefault="008F3A7C" w:rsidP="008A369F">
      <w:pPr>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La reducción prevista en este apartado no será de aplicación a los supuestos en los que los valores catastrales resultantes del procedimiento de valoración colectiva a que  </w:t>
      </w:r>
      <w:r w:rsidR="00C22FD4">
        <w:rPr>
          <w:rFonts w:eastAsia="Arial" w:cs="Times New Roman"/>
          <w:color w:val="000000"/>
          <w:sz w:val="24"/>
          <w:lang w:eastAsia="es-ES" w:bidi="ar-SA"/>
        </w:rPr>
        <w:t>a</w:t>
      </w:r>
      <w:r w:rsidRPr="008F3A7C">
        <w:rPr>
          <w:rFonts w:eastAsia="Arial" w:cs="Times New Roman"/>
          <w:color w:val="000000"/>
          <w:sz w:val="24"/>
          <w:lang w:eastAsia="es-ES" w:bidi="ar-SA"/>
        </w:rPr>
        <w:t>quel se refiere sean inferiores a los hasta entonces vigentes. El valor catastral reducido en ningún caso podrá ser inferior al valor catastral del terreno antes del procedimiento de valoración colectiva.</w:t>
      </w:r>
    </w:p>
    <w:p w14:paraId="57A066F7"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6BDE6B22" w14:textId="5D8895D4" w:rsidR="00FF2EF0" w:rsidRDefault="008F3A7C" w:rsidP="00E863A1">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3. El </w:t>
      </w:r>
      <w:r w:rsidRPr="008F3A7C">
        <w:rPr>
          <w:rFonts w:eastAsia="Arial" w:cs="Times New Roman"/>
          <w:b/>
          <w:bCs/>
          <w:color w:val="000000"/>
          <w:sz w:val="24"/>
          <w:lang w:eastAsia="es-ES" w:bidi="ar-SA"/>
        </w:rPr>
        <w:t>coeficiente</w:t>
      </w:r>
      <w:r w:rsidRPr="008F3A7C">
        <w:rPr>
          <w:rFonts w:eastAsia="Arial" w:cs="Times New Roman"/>
          <w:color w:val="000000"/>
          <w:sz w:val="24"/>
          <w:lang w:eastAsia="es-ES" w:bidi="ar-SA"/>
        </w:rPr>
        <w:t xml:space="preserve"> a aplicar sobre el valor del terreno en el momento del devengo será, para cada periodo de generación, </w:t>
      </w:r>
      <w:r w:rsidRPr="008F3A7C">
        <w:rPr>
          <w:rFonts w:eastAsia="Arial" w:cs="Times New Roman"/>
          <w:b/>
          <w:bCs/>
          <w:color w:val="000000"/>
          <w:sz w:val="24"/>
          <w:lang w:eastAsia="es-ES" w:bidi="ar-SA"/>
        </w:rPr>
        <w:t>el máximo actualizado vigente, de acuerdo con el artículo 107.4 del Real Decreto Legislativo 2/2004</w:t>
      </w:r>
      <w:r w:rsidRPr="008F3A7C">
        <w:rPr>
          <w:rFonts w:eastAsia="Arial" w:cs="Times New Roman"/>
          <w:color w:val="000000"/>
          <w:sz w:val="24"/>
          <w:lang w:eastAsia="es-ES" w:bidi="ar-SA"/>
        </w:rPr>
        <w:t xml:space="preserve">, de 5 de marzo, por el que se aprueba el texto refundido de la Ley Reguladora de las Haciendas Locales. </w:t>
      </w:r>
      <w:bookmarkStart w:id="0" w:name="_Hlk95473923"/>
      <w:r w:rsidRPr="008F3A7C">
        <w:rPr>
          <w:rFonts w:eastAsia="Arial" w:cs="Times New Roman"/>
          <w:color w:val="000000"/>
          <w:sz w:val="24"/>
          <w:lang w:eastAsia="es-ES" w:bidi="ar-SA"/>
        </w:rPr>
        <w:t>En el caso de que las Leyes de Presupuestos Generales del Estado, u otra norma dictada al efecto, procedan a su actualización, se entenderán automáticamente modificados</w:t>
      </w:r>
      <w:bookmarkEnd w:id="0"/>
      <w:r w:rsidR="00FF2EF0">
        <w:rPr>
          <w:rFonts w:eastAsia="Arial" w:cs="Times New Roman"/>
          <w:color w:val="000000"/>
          <w:sz w:val="24"/>
          <w:lang w:eastAsia="es-ES" w:bidi="ar-SA"/>
        </w:rPr>
        <w:t>.</w:t>
      </w:r>
    </w:p>
    <w:p w14:paraId="77E0CABD" w14:textId="694E2626" w:rsidR="008F3A7C" w:rsidRPr="008F3A7C" w:rsidRDefault="00FF2EF0" w:rsidP="008A369F">
      <w:pPr>
        <w:suppressAutoHyphens w:val="0"/>
        <w:spacing w:after="100" w:afterAutospacing="1"/>
        <w:ind w:hanging="10"/>
        <w:jc w:val="both"/>
        <w:rPr>
          <w:rFonts w:eastAsia="Arial" w:cs="Times New Roman"/>
          <w:color w:val="000000"/>
          <w:sz w:val="24"/>
          <w:lang w:eastAsia="es-ES" w:bidi="ar-SA"/>
        </w:rPr>
      </w:pPr>
      <w:r>
        <w:rPr>
          <w:rFonts w:eastAsia="Arial" w:cs="Times New Roman"/>
          <w:color w:val="000000"/>
          <w:sz w:val="24"/>
          <w:lang w:eastAsia="es-ES" w:bidi="ar-SA"/>
        </w:rPr>
        <w:t>A los únicos efectos ilustrativos, se recoge como Anexo a la presente Ordenanza los coeficientes actualmente en vigor</w:t>
      </w:r>
      <w:r w:rsidR="002D002E">
        <w:rPr>
          <w:rFonts w:eastAsia="Arial" w:cs="Times New Roman"/>
          <w:color w:val="000000"/>
          <w:sz w:val="24"/>
          <w:lang w:eastAsia="es-ES" w:bidi="ar-SA"/>
        </w:rPr>
        <w:t xml:space="preserve"> conforme a dichos máximos</w:t>
      </w:r>
      <w:r w:rsidR="008F3A7C" w:rsidRPr="008F3A7C">
        <w:rPr>
          <w:rFonts w:eastAsia="Arial" w:cs="Times New Roman"/>
          <w:color w:val="000000"/>
          <w:sz w:val="24"/>
          <w:lang w:eastAsia="es-ES" w:bidi="ar-SA"/>
        </w:rPr>
        <w:t xml:space="preserve">, facultándose al </w:t>
      </w:r>
      <w:r w:rsidR="008F3A7C" w:rsidRPr="008F3A7C">
        <w:rPr>
          <w:rFonts w:eastAsia="Arial" w:cs="Times New Roman"/>
          <w:iCs/>
          <w:color w:val="000000"/>
          <w:sz w:val="24"/>
          <w:lang w:eastAsia="es-ES" w:bidi="ar-SA"/>
        </w:rPr>
        <w:t>Alcalde</w:t>
      </w:r>
      <w:r w:rsidR="008F3A7C" w:rsidRPr="008F3A7C">
        <w:rPr>
          <w:rFonts w:eastAsia="Arial" w:cs="Times New Roman"/>
          <w:color w:val="000000"/>
          <w:sz w:val="24"/>
          <w:lang w:eastAsia="es-ES" w:bidi="ar-SA"/>
        </w:rPr>
        <w:t xml:space="preserve"> para, mediante resolución, </w:t>
      </w:r>
      <w:r>
        <w:rPr>
          <w:rFonts w:eastAsia="Arial" w:cs="Times New Roman"/>
          <w:color w:val="000000"/>
          <w:sz w:val="24"/>
          <w:lang w:eastAsia="es-ES" w:bidi="ar-SA"/>
        </w:rPr>
        <w:t xml:space="preserve">modificar el citado anexo para </w:t>
      </w:r>
      <w:r w:rsidR="008F3A7C" w:rsidRPr="008F3A7C">
        <w:rPr>
          <w:rFonts w:eastAsia="Arial" w:cs="Times New Roman"/>
          <w:color w:val="000000"/>
          <w:sz w:val="24"/>
          <w:lang w:eastAsia="es-ES" w:bidi="ar-SA"/>
        </w:rPr>
        <w:t>dar publicidad a los coeficientes que resulten aplicables</w:t>
      </w:r>
      <w:r>
        <w:rPr>
          <w:rFonts w:eastAsia="Arial" w:cs="Times New Roman"/>
          <w:color w:val="000000"/>
          <w:sz w:val="24"/>
          <w:lang w:eastAsia="es-ES" w:bidi="ar-SA"/>
        </w:rPr>
        <w:t xml:space="preserve"> en cada momento por remisión al citado artículo 107.4 </w:t>
      </w:r>
      <w:r w:rsidR="009418F4">
        <w:rPr>
          <w:rFonts w:eastAsia="Arial" w:cs="Times New Roman"/>
          <w:color w:val="000000"/>
          <w:sz w:val="24"/>
          <w:lang w:eastAsia="es-ES" w:bidi="ar-SA"/>
        </w:rPr>
        <w:t>Real Decreto Legislativo 2/2004, de 5 de marzo, por el que se aprueba el texto refundido de la Ley Reguladora de las Haciendas Locales en caso de modificación de aquel</w:t>
      </w:r>
      <w:r w:rsidR="008F3A7C" w:rsidRPr="008F3A7C">
        <w:rPr>
          <w:rFonts w:eastAsia="Arial" w:cs="Times New Roman"/>
          <w:color w:val="000000"/>
          <w:sz w:val="24"/>
          <w:lang w:eastAsia="es-ES" w:bidi="ar-SA"/>
        </w:rPr>
        <w:t xml:space="preserve">. </w:t>
      </w:r>
    </w:p>
    <w:p w14:paraId="05CEB4B7"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27671849"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VI. CUOTA TRIBUTARIA  Y BONIFICACIONES</w:t>
      </w:r>
    </w:p>
    <w:p w14:paraId="391B747F"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lastRenderedPageBreak/>
        <w:t xml:space="preserve"> </w:t>
      </w:r>
    </w:p>
    <w:p w14:paraId="6D510D04"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Artículo 7. Cuota tributaria</w:t>
      </w:r>
    </w:p>
    <w:p w14:paraId="596D4D56"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513CB1E2" w14:textId="0ECCEC40"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1. La cuota íntegra de este Impuesto será la resultante de aplicar a la base imponible el tipo impositivo de un </w:t>
      </w:r>
      <w:r w:rsidR="00175214" w:rsidRPr="00175214">
        <w:rPr>
          <w:rFonts w:eastAsia="Arial" w:cs="Times New Roman"/>
          <w:b/>
          <w:bCs/>
          <w:color w:val="000000"/>
          <w:sz w:val="24"/>
          <w:lang w:eastAsia="es-ES" w:bidi="ar-SA"/>
        </w:rPr>
        <w:t xml:space="preserve">15 </w:t>
      </w:r>
      <w:r w:rsidRPr="008F3A7C">
        <w:rPr>
          <w:rFonts w:eastAsia="Arial" w:cs="Times New Roman"/>
          <w:b/>
          <w:bCs/>
          <w:color w:val="000000"/>
          <w:sz w:val="24"/>
          <w:lang w:eastAsia="es-ES" w:bidi="ar-SA"/>
        </w:rPr>
        <w:t>por 100</w:t>
      </w:r>
      <w:r w:rsidRPr="008F3A7C">
        <w:rPr>
          <w:rFonts w:eastAsia="Arial" w:cs="Times New Roman"/>
          <w:color w:val="000000"/>
          <w:sz w:val="24"/>
          <w:lang w:eastAsia="es-ES" w:bidi="ar-SA"/>
        </w:rPr>
        <w:t xml:space="preserve">. </w:t>
      </w:r>
    </w:p>
    <w:p w14:paraId="20811C8C"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1430DA7D"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La cuota líquida del impuesto será el resultado de aplicar sobre la cuota íntegra, en su caso, las bonificaciones previstas en el artículo siguiente. </w:t>
      </w:r>
    </w:p>
    <w:p w14:paraId="313AA6A8"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32184C2E"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Artículo 8. Bonificaciones</w:t>
      </w:r>
    </w:p>
    <w:p w14:paraId="692F4FAF"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p>
    <w:p w14:paraId="040226F6" w14:textId="646B611C" w:rsidR="001E57DF" w:rsidRPr="001E57DF" w:rsidRDefault="008F3A7C" w:rsidP="001E57D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1.</w:t>
      </w:r>
      <w:r w:rsidR="001E57DF" w:rsidRPr="001E57DF">
        <w:t xml:space="preserve"> </w:t>
      </w:r>
      <w:r w:rsidR="001E57DF" w:rsidRPr="001E57DF">
        <w:rPr>
          <w:rFonts w:eastAsia="Arial" w:cs="Times New Roman"/>
          <w:color w:val="000000"/>
          <w:sz w:val="24"/>
          <w:lang w:eastAsia="es-ES" w:bidi="ar-SA"/>
        </w:rPr>
        <w:t>Con arreglo al artículo 108.4del Real Decreto Legislativo 2/2004, de 5 de marzo, por el que se aprueba el Texto Refundido de la Ley Reguladora de las Haciendas Locales, se establecen las siguientes bonificaciones de la cuota íntegra del impuesto:</w:t>
      </w:r>
    </w:p>
    <w:p w14:paraId="619D4B49" w14:textId="77777777"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p>
    <w:p w14:paraId="6A5E17E4" w14:textId="06794BF0"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r w:rsidRPr="001E57DF">
        <w:rPr>
          <w:rFonts w:eastAsia="Arial" w:cs="Times New Roman"/>
          <w:color w:val="000000"/>
          <w:sz w:val="24"/>
          <w:lang w:eastAsia="es-ES" w:bidi="ar-SA"/>
        </w:rPr>
        <w:t>a)- En las transmisiones de terrenos que hayan constituido la vivienda habitual del fallecido realizadas a título lucrativo por causa de muerte a favor de descendientes o adoptados, y ascendientes o adoptantes, de</w:t>
      </w:r>
      <w:r>
        <w:rPr>
          <w:rFonts w:eastAsia="Arial" w:cs="Times New Roman"/>
          <w:color w:val="000000"/>
          <w:sz w:val="24"/>
          <w:lang w:eastAsia="es-ES" w:bidi="ar-SA"/>
        </w:rPr>
        <w:t>l</w:t>
      </w:r>
      <w:r w:rsidRPr="001E57DF">
        <w:rPr>
          <w:rFonts w:eastAsia="Arial" w:cs="Times New Roman"/>
          <w:color w:val="000000"/>
          <w:sz w:val="24"/>
          <w:lang w:eastAsia="es-ES" w:bidi="ar-SA"/>
        </w:rPr>
        <w:t xml:space="preserve"> 60%.</w:t>
      </w:r>
    </w:p>
    <w:p w14:paraId="36C78701" w14:textId="77777777"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r w:rsidRPr="001E57DF">
        <w:rPr>
          <w:rFonts w:eastAsia="Arial" w:cs="Times New Roman"/>
          <w:color w:val="000000"/>
          <w:sz w:val="24"/>
          <w:lang w:eastAsia="es-ES" w:bidi="ar-SA"/>
        </w:rPr>
        <w:t xml:space="preserve">A efectos de aplicación de la bonificación indicada en la letra a) anterior, se tendrá en consideración la definición de personas ascendientes y descendientes contenida en el artículo 917 del Código Civil (ascendientes: padre, abuelo, bisabuelo, tatarabuelo, </w:t>
      </w:r>
      <w:proofErr w:type="spellStart"/>
      <w:r w:rsidRPr="001E57DF">
        <w:rPr>
          <w:rFonts w:eastAsia="Arial" w:cs="Times New Roman"/>
          <w:color w:val="000000"/>
          <w:sz w:val="24"/>
          <w:lang w:eastAsia="es-ES" w:bidi="ar-SA"/>
        </w:rPr>
        <w:t>etc</w:t>
      </w:r>
      <w:proofErr w:type="spellEnd"/>
      <w:r w:rsidRPr="001E57DF">
        <w:rPr>
          <w:rFonts w:eastAsia="Arial" w:cs="Times New Roman"/>
          <w:color w:val="000000"/>
          <w:sz w:val="24"/>
          <w:lang w:eastAsia="es-ES" w:bidi="ar-SA"/>
        </w:rPr>
        <w:t xml:space="preserve"> y descendientes: hijo, nieto, bisnieto, tataranieto, etc.).</w:t>
      </w:r>
    </w:p>
    <w:p w14:paraId="1F9310E6" w14:textId="77777777"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p>
    <w:p w14:paraId="67FC11BB" w14:textId="77777777"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r w:rsidRPr="001E57DF">
        <w:rPr>
          <w:rFonts w:eastAsia="Arial" w:cs="Times New Roman"/>
          <w:color w:val="000000"/>
          <w:sz w:val="24"/>
          <w:lang w:eastAsia="es-ES" w:bidi="ar-SA"/>
        </w:rPr>
        <w:t>b)-En las transmisiones de terrenos que hayan constituido la vivienda habitual del fallecido realizadas a título lucrativo por causa de muerte a favor del cónyuge, del 95%.</w:t>
      </w:r>
    </w:p>
    <w:p w14:paraId="4AED38F7" w14:textId="77777777" w:rsidR="001E57DF" w:rsidRDefault="001E57DF" w:rsidP="001E57DF">
      <w:pPr>
        <w:widowControl/>
        <w:suppressAutoHyphens w:val="0"/>
        <w:spacing w:after="100" w:afterAutospacing="1"/>
        <w:ind w:hanging="10"/>
        <w:jc w:val="both"/>
        <w:rPr>
          <w:rFonts w:eastAsia="Arial" w:cs="Times New Roman"/>
          <w:color w:val="000000"/>
          <w:sz w:val="24"/>
          <w:lang w:eastAsia="es-ES" w:bidi="ar-SA"/>
        </w:rPr>
      </w:pPr>
    </w:p>
    <w:p w14:paraId="4C412C64" w14:textId="4B7BF8CF"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r w:rsidRPr="001E57DF">
        <w:rPr>
          <w:rFonts w:eastAsia="Arial" w:cs="Times New Roman"/>
          <w:color w:val="000000"/>
          <w:sz w:val="24"/>
          <w:lang w:eastAsia="es-ES" w:bidi="ar-SA"/>
        </w:rPr>
        <w:t>A estos efectos se aplicará esta bonificación por la parte del terreno sobre la que se sitúe la vivienda habitual del transmitente, entendiendo por tal aquella en la que haya figurado empadronado el fallecido de forma ininterrumpida durante, al menos los dos años anteriores a</w:t>
      </w:r>
      <w:r>
        <w:rPr>
          <w:rFonts w:eastAsia="Arial" w:cs="Times New Roman"/>
          <w:color w:val="000000"/>
          <w:sz w:val="24"/>
          <w:lang w:eastAsia="es-ES" w:bidi="ar-SA"/>
        </w:rPr>
        <w:t xml:space="preserve"> </w:t>
      </w:r>
      <w:r w:rsidRPr="001E57DF">
        <w:rPr>
          <w:rFonts w:eastAsia="Arial" w:cs="Times New Roman"/>
          <w:color w:val="000000"/>
          <w:sz w:val="24"/>
          <w:lang w:eastAsia="es-ES" w:bidi="ar-SA"/>
        </w:rPr>
        <w:t>l</w:t>
      </w:r>
      <w:r>
        <w:rPr>
          <w:rFonts w:eastAsia="Arial" w:cs="Times New Roman"/>
          <w:color w:val="000000"/>
          <w:sz w:val="24"/>
          <w:lang w:eastAsia="es-ES" w:bidi="ar-SA"/>
        </w:rPr>
        <w:t>a fecha de</w:t>
      </w:r>
      <w:r w:rsidRPr="001E57DF">
        <w:rPr>
          <w:rFonts w:eastAsia="Arial" w:cs="Times New Roman"/>
          <w:color w:val="000000"/>
          <w:sz w:val="24"/>
          <w:lang w:eastAsia="es-ES" w:bidi="ar-SA"/>
        </w:rPr>
        <w:t xml:space="preserve"> devengo del impuesto.</w:t>
      </w:r>
    </w:p>
    <w:p w14:paraId="7B50E306" w14:textId="77770C68" w:rsidR="001E57DF" w:rsidRPr="001E57DF" w:rsidRDefault="001E57DF" w:rsidP="001E57DF">
      <w:pPr>
        <w:widowControl/>
        <w:suppressAutoHyphens w:val="0"/>
        <w:spacing w:after="100" w:afterAutospacing="1"/>
        <w:ind w:hanging="10"/>
        <w:jc w:val="both"/>
        <w:rPr>
          <w:rFonts w:eastAsia="Arial" w:cs="Times New Roman"/>
          <w:color w:val="000000"/>
          <w:sz w:val="24"/>
          <w:lang w:eastAsia="es-ES" w:bidi="ar-SA"/>
        </w:rPr>
      </w:pPr>
      <w:r w:rsidRPr="001E57DF">
        <w:rPr>
          <w:rFonts w:eastAsia="Arial" w:cs="Times New Roman"/>
          <w:color w:val="000000"/>
          <w:sz w:val="24"/>
          <w:lang w:eastAsia="es-ES" w:bidi="ar-SA"/>
        </w:rPr>
        <w:t xml:space="preserve">                       Estas bonificaciones tendrán carácter rogado, correspondiendo al sujeto pasivo del impuesto la prueba de que se cumplen los requisitos que dan derecho a las mismas, en la solicitud que a tal efecto presenten en el momento de aportación de la declaración que contenga los elementos imprescindibles para practicar la liquidación del impuesto. Estas solicitudes han de ser presentadas en los mismos plazos previstos </w:t>
      </w:r>
      <w:r w:rsidR="00774C3C">
        <w:rPr>
          <w:rFonts w:eastAsia="Arial" w:cs="Times New Roman"/>
          <w:color w:val="000000"/>
          <w:sz w:val="24"/>
          <w:lang w:eastAsia="es-ES" w:bidi="ar-SA"/>
        </w:rPr>
        <w:t>para la prestación de la declaración y junto con ella, y en todo caso con anterioridad a haberse practicado la correspondiente liquidación</w:t>
      </w:r>
      <w:r w:rsidRPr="001E57DF">
        <w:rPr>
          <w:rFonts w:eastAsia="Arial" w:cs="Times New Roman"/>
          <w:color w:val="000000"/>
          <w:sz w:val="24"/>
          <w:lang w:eastAsia="es-ES" w:bidi="ar-SA"/>
        </w:rPr>
        <w:t xml:space="preserve">.                                                                                                                                                                                                                                                                                                                                                              </w:t>
      </w:r>
    </w:p>
    <w:p w14:paraId="43B3D45C" w14:textId="69225031" w:rsidR="001E57DF" w:rsidRDefault="001E57DF" w:rsidP="001E57DF">
      <w:pPr>
        <w:widowControl/>
        <w:suppressAutoHyphens w:val="0"/>
        <w:spacing w:after="100" w:afterAutospacing="1"/>
        <w:ind w:hanging="10"/>
        <w:jc w:val="both"/>
        <w:rPr>
          <w:rFonts w:eastAsia="Arial" w:cs="Times New Roman"/>
          <w:color w:val="000000"/>
          <w:sz w:val="24"/>
          <w:lang w:eastAsia="es-ES" w:bidi="ar-SA"/>
        </w:rPr>
      </w:pPr>
      <w:r w:rsidRPr="001E57DF">
        <w:rPr>
          <w:rFonts w:eastAsia="Arial" w:cs="Times New Roman"/>
          <w:color w:val="000000"/>
          <w:sz w:val="24"/>
          <w:lang w:eastAsia="es-ES" w:bidi="ar-SA"/>
        </w:rPr>
        <w:t>Las bonificaciones no serán de aplicación mientras la herencia se encuentre yacente, entendiendo por tal en tanto no haya una aceptación expresa ante notario</w:t>
      </w:r>
    </w:p>
    <w:p w14:paraId="7F01EEA3" w14:textId="77777777" w:rsidR="001E57DF" w:rsidRDefault="001E57DF" w:rsidP="008A369F">
      <w:pPr>
        <w:widowControl/>
        <w:suppressAutoHyphens w:val="0"/>
        <w:spacing w:after="100" w:afterAutospacing="1"/>
        <w:ind w:hanging="10"/>
        <w:jc w:val="both"/>
        <w:rPr>
          <w:rFonts w:eastAsia="Arial" w:cs="Times New Roman"/>
          <w:color w:val="000000"/>
          <w:sz w:val="24"/>
          <w:lang w:eastAsia="es-ES" w:bidi="ar-SA"/>
        </w:rPr>
      </w:pPr>
    </w:p>
    <w:p w14:paraId="42D5BAF4" w14:textId="397B9D45"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Sólo se concederá esta bonificación cuando el sujeto pasivo haya presentado voluntariamente y no como consecuencia de un requerimiento de esta Administración la correspondiente </w:t>
      </w:r>
      <w:r w:rsidRPr="008F3A7C">
        <w:rPr>
          <w:rFonts w:eastAsia="Arial" w:cs="Times New Roman"/>
          <w:color w:val="000000"/>
          <w:sz w:val="24"/>
          <w:lang w:eastAsia="es-ES" w:bidi="ar-SA"/>
        </w:rPr>
        <w:lastRenderedPageBreak/>
        <w:t xml:space="preserve">declaración o autoliquidación, siendo imprescindible para disfrutar de este beneficio fiscal que la misma se haya efectuado dentro de los plazos indicados en el artículo 11. </w:t>
      </w:r>
    </w:p>
    <w:p w14:paraId="6F632C1F"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p>
    <w:p w14:paraId="4AA0866A"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VII. DEVENGO </w:t>
      </w:r>
    </w:p>
    <w:p w14:paraId="0B5172BE"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4EAB9B85"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Artículo 9. Devengo</w:t>
      </w:r>
    </w:p>
    <w:p w14:paraId="287A1582"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559429AF" w14:textId="0CBA69B5" w:rsidR="008F3A7C" w:rsidRPr="008F3A7C" w:rsidRDefault="008F3A7C" w:rsidP="009418F4">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1. Se devenga el impuesto y nace la obligación de contribuir: </w:t>
      </w:r>
    </w:p>
    <w:p w14:paraId="30100AFF" w14:textId="77777777" w:rsidR="008F3A7C" w:rsidRPr="008F3A7C" w:rsidRDefault="008F3A7C" w:rsidP="008A369F">
      <w:pPr>
        <w:widowControl/>
        <w:numPr>
          <w:ilvl w:val="0"/>
          <w:numId w:val="1"/>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Cuando se transmita la propiedad del terreno, ya sea a título oneroso o gratuito, "inter vivos" o "mortis causa", en la fecha de la transmisión. </w:t>
      </w:r>
    </w:p>
    <w:p w14:paraId="7282AC1B" w14:textId="77777777" w:rsidR="008F3A7C" w:rsidRPr="008F3A7C" w:rsidRDefault="008F3A7C" w:rsidP="008A369F">
      <w:pPr>
        <w:widowControl/>
        <w:numPr>
          <w:ilvl w:val="0"/>
          <w:numId w:val="1"/>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Cuando se constituya o transmita cualquier derecho real de goce limitativo del dominio, en la fecha en que tenga lugar la constitución o transmisión.  </w:t>
      </w:r>
    </w:p>
    <w:p w14:paraId="1A116EFD"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29DB9808"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A los efectos de lo dispuesto en el apartado anterior, se entenderá como fecha de la transmisión: </w:t>
      </w:r>
    </w:p>
    <w:p w14:paraId="6864469E"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69F601D3" w14:textId="77777777" w:rsidR="008F3A7C" w:rsidRPr="008F3A7C" w:rsidRDefault="008F3A7C" w:rsidP="008A369F">
      <w:pPr>
        <w:widowControl/>
        <w:numPr>
          <w:ilvl w:val="0"/>
          <w:numId w:val="2"/>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los actos o contratos “inter vivos”, la del otorgamiento del documento público y, tratándose de documentos privados, la de su incorporación o inscripción en un Registro Público, o la de su entrega a un funcionario público por razón de su oficio. </w:t>
      </w:r>
    </w:p>
    <w:p w14:paraId="1DB0E11C" w14:textId="77777777" w:rsidR="008F3A7C" w:rsidRPr="008F3A7C" w:rsidRDefault="008F3A7C" w:rsidP="008A369F">
      <w:pPr>
        <w:widowControl/>
        <w:numPr>
          <w:ilvl w:val="0"/>
          <w:numId w:val="2"/>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las transmisiones "mortis causa", la del fallecimiento del causante. </w:t>
      </w:r>
    </w:p>
    <w:p w14:paraId="25B8A067" w14:textId="77777777" w:rsidR="008F3A7C" w:rsidRPr="008F3A7C" w:rsidRDefault="008F3A7C" w:rsidP="008A369F">
      <w:pPr>
        <w:widowControl/>
        <w:numPr>
          <w:ilvl w:val="0"/>
          <w:numId w:val="2"/>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las subastas judiciales, administrativas o notariales, se tomará excepcionalmente la fecha del auto o providencia aprobando el remate, si en el mismo queda constancia de la entrega del inmueble. En cualquier otro caso, se estará a la fecha del documento público. </w:t>
      </w:r>
    </w:p>
    <w:p w14:paraId="36EE4FDB" w14:textId="77777777" w:rsidR="008F3A7C" w:rsidRPr="008F3A7C" w:rsidRDefault="008F3A7C" w:rsidP="008A369F">
      <w:pPr>
        <w:widowControl/>
        <w:numPr>
          <w:ilvl w:val="0"/>
          <w:numId w:val="2"/>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las expropiaciones forzosas, la fecha del acta de ocupación en aquellos supuestos de urgente ocupación de los bienes afectados y, el pago o consignación del justiprecio en aquellos supuestos tramitados por el procedimiento general de expropiación. </w:t>
      </w:r>
    </w:p>
    <w:p w14:paraId="6F7A667D"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p>
    <w:p w14:paraId="45BAB2C2" w14:textId="77777777" w:rsidR="008F3A7C" w:rsidRPr="008F3A7C" w:rsidRDefault="008F3A7C" w:rsidP="008A369F">
      <w:pPr>
        <w:widowControl/>
        <w:pBdr>
          <w:top w:val="nil"/>
          <w:left w:val="nil"/>
          <w:bottom w:val="nil"/>
          <w:right w:val="nil"/>
          <w:between w:val="nil"/>
        </w:pBdr>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 xml:space="preserve">Artículo 10. Reglas especiales </w:t>
      </w:r>
    </w:p>
    <w:p w14:paraId="2668A54E"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Theme="minorHAnsi" w:cs="Times New Roman"/>
          <w:sz w:val="24"/>
          <w:lang w:eastAsia="en-US" w:bidi="ar-SA"/>
        </w:rPr>
        <w:t xml:space="preserve"> </w:t>
      </w:r>
    </w:p>
    <w:p w14:paraId="179A593C" w14:textId="77777777" w:rsidR="008F3A7C" w:rsidRPr="008F3A7C" w:rsidRDefault="008F3A7C" w:rsidP="008A369F">
      <w:pPr>
        <w:widowControl/>
        <w:numPr>
          <w:ilvl w:val="0"/>
          <w:numId w:val="5"/>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Cuando se declare o reconozca judicial o administrativamente por resolución firme haber tenido lugar la nulidad, rescisión o resolución del acto o contrato determinante de la transmisión del terreno o de la constitución o transmisión del derecho real de goce sobre el mismo, el sujeto pasivo tendrá derecho a la devolución del Impuesto satisfecho, siempre que dicho acto o contrato no le hubiere producido efectos lucrativos y que reclame la devolución en el plazo de cinco años desde que la resolución quedó firme, entendiéndose que existe efecto lucrativo cuando no se justifique que los interesados deban efectuar las recíprocas devoluciones a que se refiere el artículo 1295 del Código Civil. Aunque el acto o contrato no haya producido efectos lucrativos, si la rescisión o resolución se declarase por incumplimiento de las obligaciones del sujeto pasivo del Impuesto, no habrá lugar a devolución alguna. </w:t>
      </w:r>
    </w:p>
    <w:p w14:paraId="175E199B"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10091BBD" w14:textId="77777777" w:rsidR="008F3A7C" w:rsidRPr="008F3A7C" w:rsidRDefault="008F3A7C" w:rsidP="008A369F">
      <w:pPr>
        <w:widowControl/>
        <w:numPr>
          <w:ilvl w:val="0"/>
          <w:numId w:val="5"/>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Si el contrato queda sin efecto por mutuo acuerdo de las partes contratantes, no procederá la devolución del Impuesto satisfecho y se considerará el mutuo acuerdo como un acto nuevo sujeto a tributación. Como tal mutuo acuerdo se estimará la avenencia en acto de conciliación y el simple allanamiento a la demanda. </w:t>
      </w:r>
    </w:p>
    <w:p w14:paraId="4879DFA0"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0684DF49" w14:textId="77777777" w:rsidR="008F3A7C" w:rsidRPr="008F3A7C" w:rsidRDefault="008F3A7C" w:rsidP="008A369F">
      <w:pPr>
        <w:widowControl/>
        <w:numPr>
          <w:ilvl w:val="0"/>
          <w:numId w:val="5"/>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los actos o contratos en que medie alguna condición, su calificación se hará con arreglo a las prescripciones contenidas en el Código Civil. Si fuere suspensiva no se liquidará el Impuesto hasta que ésta se cumpla. Si la condición fuese resolutoria, se exigirá el Impuesto desde luego, a reserva, cuando la condición se cumpla, de hacer la oportuna devolución según la regla del apartado anterior. </w:t>
      </w:r>
    </w:p>
    <w:p w14:paraId="3276A50C"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 </w:t>
      </w:r>
    </w:p>
    <w:p w14:paraId="0CA699AD"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p>
    <w:p w14:paraId="6E622CEE"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VIII. NORMAS DE GESTIÓN Y RECAUDACION </w:t>
      </w:r>
    </w:p>
    <w:p w14:paraId="03F6CF16" w14:textId="77777777" w:rsidR="008F3A7C" w:rsidRPr="008F3A7C" w:rsidRDefault="008F3A7C" w:rsidP="008A369F">
      <w:pPr>
        <w:widowControl/>
        <w:suppressAutoHyphens w:val="0"/>
        <w:spacing w:after="100" w:afterAutospacing="1"/>
        <w:ind w:hanging="10"/>
        <w:jc w:val="both"/>
        <w:rPr>
          <w:rFonts w:eastAsia="Arial" w:cs="Times New Roman"/>
          <w:b/>
          <w:color w:val="000000"/>
          <w:sz w:val="24"/>
          <w:lang w:eastAsia="es-ES" w:bidi="ar-SA"/>
        </w:rPr>
      </w:pPr>
    </w:p>
    <w:p w14:paraId="2E733923" w14:textId="77777777" w:rsidR="008F3A7C" w:rsidRPr="008F3A7C" w:rsidRDefault="008F3A7C" w:rsidP="008A369F">
      <w:pPr>
        <w:widowControl/>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Artículo 11.  Régimen de declaración e ingreso</w:t>
      </w:r>
    </w:p>
    <w:p w14:paraId="1563CBC2"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308C955D"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7E99AA81" w14:textId="293EE4D5" w:rsidR="008F3A7C" w:rsidRPr="008F3A7C" w:rsidRDefault="008F3A7C" w:rsidP="008A3A8C">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1. Los sujetos pasivos vendrán obligados a presentar ante el Ayuntamiento la correspondiente declaración tributaria. Dicha declaración deberá ser presentada en los siguientes plazos, a contar desde la fecha en que se produzca el devengo del impuesto:</w:t>
      </w:r>
    </w:p>
    <w:p w14:paraId="70A343C9" w14:textId="6CDD8DE7" w:rsidR="008F3A7C" w:rsidRPr="008F3A7C" w:rsidRDefault="008F3A7C" w:rsidP="008A3A8C">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a) Cuando se trate de actos ínter vivos, el plazo será de treinta días hábiles.</w:t>
      </w:r>
    </w:p>
    <w:p w14:paraId="426C5747"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b) Cuando se trate de actos por causa de muerte, el plazo será de seis meses prorrogables hasta un año a solicitud del sujeto pasivo. Para que pueda estimarse la solicitud de prórroga por la Administración Tributaria Municipal, ésta deberá presentarse deberá antes de que finalice el plazo inicial de seis meses.</w:t>
      </w:r>
    </w:p>
    <w:p w14:paraId="7A395F86" w14:textId="77777777" w:rsidR="008F3A7C" w:rsidRPr="008F3A7C" w:rsidRDefault="008F3A7C" w:rsidP="008A3A8C">
      <w:pPr>
        <w:widowControl/>
        <w:suppressAutoHyphens w:val="0"/>
        <w:spacing w:after="100" w:afterAutospacing="1"/>
        <w:jc w:val="both"/>
        <w:rPr>
          <w:rFonts w:eastAsia="Arial" w:cs="Times New Roman"/>
          <w:color w:val="000000"/>
          <w:sz w:val="24"/>
          <w:lang w:eastAsia="es-ES" w:bidi="ar-SA"/>
        </w:rPr>
      </w:pPr>
    </w:p>
    <w:p w14:paraId="0F2EEF52" w14:textId="1455DD57"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2.  La declaración</w:t>
      </w:r>
      <w:r w:rsidR="0071211A">
        <w:rPr>
          <w:rFonts w:eastAsia="Arial" w:cs="Times New Roman"/>
          <w:color w:val="000000"/>
          <w:sz w:val="24"/>
          <w:lang w:eastAsia="es-ES" w:bidi="ar-SA"/>
        </w:rPr>
        <w:t xml:space="preserve"> o en su caso los documentos aportados,</w:t>
      </w:r>
      <w:r w:rsidRPr="008F3A7C">
        <w:rPr>
          <w:rFonts w:eastAsia="Arial" w:cs="Times New Roman"/>
          <w:color w:val="000000"/>
          <w:sz w:val="24"/>
          <w:lang w:eastAsia="es-ES" w:bidi="ar-SA"/>
        </w:rPr>
        <w:t xml:space="preserve"> deberá contener todos los elementos de la relación tributaria que sean imprescindibles para practicar la liquidación procedente y, en todo caso, los siguientes:</w:t>
      </w:r>
    </w:p>
    <w:p w14:paraId="63FD4E5A" w14:textId="6CD35044"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a) Nombre y apellidos o razón social del sujeto pasivo, contribuyente y, en</w:t>
      </w:r>
      <w:r w:rsidR="008A3A8C">
        <w:rPr>
          <w:rFonts w:eastAsia="Arial" w:cs="Times New Roman"/>
          <w:color w:val="000000"/>
          <w:sz w:val="24"/>
          <w:lang w:eastAsia="es-ES" w:bidi="ar-SA"/>
        </w:rPr>
        <w:t xml:space="preserve"> </w:t>
      </w:r>
      <w:r w:rsidRPr="008F3A7C">
        <w:rPr>
          <w:rFonts w:eastAsia="Arial" w:cs="Times New Roman"/>
          <w:color w:val="000000"/>
          <w:sz w:val="24"/>
          <w:lang w:eastAsia="es-ES" w:bidi="ar-SA"/>
        </w:rPr>
        <w:t xml:space="preserve">su caso, del sustituto del contribuyente, </w:t>
      </w:r>
      <w:proofErr w:type="spellStart"/>
      <w:r w:rsidRPr="008F3A7C">
        <w:rPr>
          <w:rFonts w:eastAsia="Arial" w:cs="Times New Roman"/>
          <w:color w:val="000000"/>
          <w:sz w:val="24"/>
          <w:lang w:eastAsia="es-ES" w:bidi="ar-SA"/>
        </w:rPr>
        <w:t>N.I.F.de</w:t>
      </w:r>
      <w:proofErr w:type="spellEnd"/>
      <w:r w:rsidRPr="008F3A7C">
        <w:rPr>
          <w:rFonts w:eastAsia="Arial" w:cs="Times New Roman"/>
          <w:color w:val="000000"/>
          <w:sz w:val="24"/>
          <w:lang w:eastAsia="es-ES" w:bidi="ar-SA"/>
        </w:rPr>
        <w:t xml:space="preserve"> éstos, y sus domicilios, así como los mismos datos de los demás intervinientes en el hecho, acto o negocio jurídico determinante del devengo del impuesto.</w:t>
      </w:r>
    </w:p>
    <w:p w14:paraId="130014AB" w14:textId="01BB2C4E"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b) En su caso, nombre y apellidos del representante del sujeto pasivo ante la Administración Municipal, N.I.F. de éste, así como su domicilio.</w:t>
      </w:r>
    </w:p>
    <w:p w14:paraId="102F837F" w14:textId="049F5986"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c) Lugar y Notario autorizante de la escritura, número de protocolo y fecha de la misma.</w:t>
      </w:r>
    </w:p>
    <w:p w14:paraId="31EADD47" w14:textId="703A0B19"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d)Situación física y referencia catastral del inmueble.</w:t>
      </w:r>
    </w:p>
    <w:p w14:paraId="1A37B28E"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e) Participación adquirida, cuota de copropiedad y, en su caso, solicitud de</w:t>
      </w:r>
    </w:p>
    <w:p w14:paraId="046C4160" w14:textId="7DC8AF5C"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división.</w:t>
      </w:r>
    </w:p>
    <w:p w14:paraId="5DA73010" w14:textId="6BE46793" w:rsidR="008F3A7C" w:rsidRPr="008F3A7C" w:rsidRDefault="008F3A7C" w:rsidP="004E2722">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f) Número de años a lo largo de los cuales se ha puesto de manifiesto el incremento del valor de los terrenos y fecha de realización anterior del hecho imponible.</w:t>
      </w:r>
    </w:p>
    <w:p w14:paraId="71EBC60D"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g) Opción, en su caso, por el método de determinación directa de la base imponible.</w:t>
      </w:r>
    </w:p>
    <w:p w14:paraId="7D19E4AB"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65666F60"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h) En su caso, solicitud de beneficios fiscales que se consideren procedentes.</w:t>
      </w:r>
    </w:p>
    <w:p w14:paraId="25CBAE70" w14:textId="3D18FF7D" w:rsid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030E30AF" w14:textId="350B7711" w:rsidR="0071211A" w:rsidRDefault="0071211A" w:rsidP="008A369F">
      <w:pPr>
        <w:widowControl/>
        <w:suppressAutoHyphens w:val="0"/>
        <w:spacing w:after="100" w:afterAutospacing="1"/>
        <w:ind w:hanging="10"/>
        <w:jc w:val="both"/>
        <w:rPr>
          <w:rFonts w:eastAsia="Arial" w:cs="Times New Roman"/>
          <w:color w:val="000000"/>
          <w:sz w:val="24"/>
          <w:lang w:eastAsia="es-ES" w:bidi="ar-SA"/>
        </w:rPr>
      </w:pPr>
      <w:r>
        <w:rPr>
          <w:rFonts w:eastAsia="Arial" w:cs="Times New Roman"/>
          <w:color w:val="000000"/>
          <w:sz w:val="24"/>
          <w:lang w:eastAsia="es-ES" w:bidi="ar-SA"/>
        </w:rPr>
        <w:lastRenderedPageBreak/>
        <w:t>Se acompañará, en todo caso, copia simple del documento que origina la imposición.</w:t>
      </w:r>
    </w:p>
    <w:p w14:paraId="4F79A316" w14:textId="77777777" w:rsidR="0071211A" w:rsidRPr="008F3A7C" w:rsidRDefault="0071211A" w:rsidP="008A369F">
      <w:pPr>
        <w:widowControl/>
        <w:suppressAutoHyphens w:val="0"/>
        <w:spacing w:after="100" w:afterAutospacing="1"/>
        <w:ind w:hanging="10"/>
        <w:jc w:val="both"/>
        <w:rPr>
          <w:rFonts w:eastAsia="Arial" w:cs="Times New Roman"/>
          <w:color w:val="000000"/>
          <w:sz w:val="24"/>
          <w:lang w:eastAsia="es-ES" w:bidi="ar-SA"/>
        </w:rPr>
      </w:pPr>
    </w:p>
    <w:p w14:paraId="11EFBC22" w14:textId="349D2F69"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3. En el caso de las transmisiones mortis causa, se acompañará a la </w:t>
      </w:r>
      <w:r w:rsidR="00EE3ECB">
        <w:rPr>
          <w:rFonts w:eastAsia="Arial" w:cs="Times New Roman"/>
          <w:color w:val="000000"/>
          <w:sz w:val="24"/>
          <w:lang w:eastAsia="es-ES" w:bidi="ar-SA"/>
        </w:rPr>
        <w:t>declara</w:t>
      </w:r>
      <w:r w:rsidRPr="008F3A7C">
        <w:rPr>
          <w:rFonts w:eastAsia="Arial" w:cs="Times New Roman"/>
          <w:color w:val="000000"/>
          <w:sz w:val="24"/>
          <w:lang w:eastAsia="es-ES" w:bidi="ar-SA"/>
        </w:rPr>
        <w:t>ción la siguiente documentación:</w:t>
      </w:r>
    </w:p>
    <w:p w14:paraId="351115BB"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6B7B754E"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a. Copia simple de la escritura de la partición hereditaria, si la hubiera.</w:t>
      </w:r>
    </w:p>
    <w:p w14:paraId="7A503163"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b. Copia de la declaración o autoliquidación presentada a efectos del</w:t>
      </w:r>
    </w:p>
    <w:p w14:paraId="71838D23"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Impuesto sobre Sucesiones y Donaciones.</w:t>
      </w:r>
    </w:p>
    <w:p w14:paraId="5ECA6063"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c. Fotocopia del certificado de defunción.</w:t>
      </w:r>
    </w:p>
    <w:p w14:paraId="14E0ACBB"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d. Fotocopia de certificación de actos de última voluntad.</w:t>
      </w:r>
    </w:p>
    <w:p w14:paraId="0A4F3197"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e. Fotocopia del testamento, en su caso.</w:t>
      </w:r>
    </w:p>
    <w:p w14:paraId="56C3E8E4"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34CA5450"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4.  </w:t>
      </w:r>
      <w:r w:rsidRPr="008F3A7C">
        <w:rPr>
          <w:rFonts w:eastAsia="Arial" w:cs="Times New Roman"/>
          <w:color w:val="000000"/>
          <w:sz w:val="24"/>
          <w:u w:val="single"/>
          <w:lang w:eastAsia="es-ES" w:bidi="ar-SA"/>
        </w:rPr>
        <w:t>El interesado en acreditar la inexistencia de incremento de valor deberá declarar la transmisión, así como aportar los títulos que documenten la transmisión y la adquisición</w:t>
      </w:r>
      <w:r w:rsidRPr="008F3A7C">
        <w:rPr>
          <w:rFonts w:eastAsia="Arial" w:cs="Times New Roman"/>
          <w:color w:val="000000"/>
          <w:sz w:val="24"/>
          <w:lang w:eastAsia="es-ES" w:bidi="ar-SA"/>
        </w:rPr>
        <w:t>.</w:t>
      </w:r>
    </w:p>
    <w:p w14:paraId="5111409A"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1DE82EFC"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5. Las liquidaciones del impuesto que practique el Ayuntamiento se notificarán íntegramente a los sujetos pasivos con indicación del plazo de ingreso, expresión de los recursos procedentes y demás requisitos legales y reglamentarios.</w:t>
      </w:r>
    </w:p>
    <w:p w14:paraId="6F5F479F"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354B82F1"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A efectos de lo previsto en el presente apartado, la Administración tributaria podrá utilizar los datos consignados por el obligado tributario en su declaración o cualquier otro que obre en su poder, podrá requerir al obligado para que aclare los datos consignados en su declaración o presente justificante de los mismos y podrá realizar actuaciones de comprobación de valores. </w:t>
      </w:r>
    </w:p>
    <w:p w14:paraId="2CEB2BD9"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54FDE492"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Cuando se hayan realizado actuaciones de acuerdo con lo dispuesto en el párrafo anterior y los datos o valores tenidos en cuenta por la Administración tributaria no se correspondan con los consignados por el obligado en su declaración, deberá hacerse mención expresa de esta circunstancia en la propuesta de liquidación, que deberá notificarse, con una referencia sucinta a los hechos y fundamentos de derecho que la motiven, para que el obligado tributario alegue lo que convenga a su derecho</w:t>
      </w:r>
    </w:p>
    <w:p w14:paraId="41389C08"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p>
    <w:p w14:paraId="33C6C782" w14:textId="77777777" w:rsidR="008F3A7C" w:rsidRPr="008F3A7C" w:rsidRDefault="008F3A7C" w:rsidP="008A369F">
      <w:pPr>
        <w:widowControl/>
        <w:suppressAutoHyphens w:val="0"/>
        <w:spacing w:after="100" w:afterAutospacing="1"/>
        <w:ind w:hanging="10"/>
        <w:jc w:val="both"/>
        <w:rPr>
          <w:rFonts w:eastAsia="Arial" w:cs="Times New Roman"/>
          <w:b/>
          <w:color w:val="000000"/>
          <w:sz w:val="24"/>
          <w:lang w:eastAsia="es-ES" w:bidi="ar-SA"/>
        </w:rPr>
      </w:pPr>
      <w:r w:rsidRPr="008F3A7C">
        <w:rPr>
          <w:rFonts w:eastAsia="Arial" w:cs="Times New Roman"/>
          <w:b/>
          <w:color w:val="000000"/>
          <w:sz w:val="24"/>
          <w:lang w:eastAsia="es-ES" w:bidi="ar-SA"/>
        </w:rPr>
        <w:t xml:space="preserve">Artículo 12.  Obligación de comunicación </w:t>
      </w:r>
    </w:p>
    <w:p w14:paraId="6BE08F94"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20F11A4D"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Arial" w:cs="Times New Roman"/>
          <w:color w:val="000000"/>
          <w:sz w:val="24"/>
          <w:lang w:eastAsia="es-ES" w:bidi="ar-SA"/>
        </w:rPr>
        <w:t xml:space="preserve">1. Están obligados a comunicar al Ayuntamiento la realización del hecho imponible en los mismos plazos que los sujetos pasivos: </w:t>
      </w:r>
    </w:p>
    <w:p w14:paraId="5C8AC76D"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53117710" w14:textId="77777777" w:rsidR="008F3A7C" w:rsidRPr="008F3A7C" w:rsidRDefault="008F3A7C" w:rsidP="008A369F">
      <w:pPr>
        <w:widowControl/>
        <w:numPr>
          <w:ilvl w:val="0"/>
          <w:numId w:val="4"/>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los supuestos contemplados en el artículo 5.a) de esta Ordenanza, siempre que se hayan producido por negocio jurídico "inter vivos", el donante o la persona que constituya o transmita el derecho real de que se trate. </w:t>
      </w:r>
    </w:p>
    <w:p w14:paraId="6011922D" w14:textId="77777777" w:rsidR="008F3A7C" w:rsidRPr="008F3A7C" w:rsidRDefault="008F3A7C" w:rsidP="008A369F">
      <w:pPr>
        <w:widowControl/>
        <w:numPr>
          <w:ilvl w:val="0"/>
          <w:numId w:val="4"/>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los supuestos contemplados en el artículo 5.b) de esta Ordenanza, el adquirente o la persona a cuyo favor se constituya o transmita el derecho real de que se trate.  </w:t>
      </w:r>
    </w:p>
    <w:p w14:paraId="1D21C1BC"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331206AA"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La comunicación que deban realizar las personas indicadas deberá contener los mismos datos que aparecen recogidos en el artículo 10 de la presente Ordenanza. </w:t>
      </w:r>
    </w:p>
    <w:p w14:paraId="55967888"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 </w:t>
      </w:r>
    </w:p>
    <w:p w14:paraId="089ACBE8"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2.  Asimismo, los Notarios estarán obligados a remitir al Ayuntamiento, dentro de la primera quincena de cada trimestre, relación o índice compresivo de todos los documentos por ellos autorizados en el trimestre anterior, en los que se contengan hechos, actos o negocios jurídicos que pongan de manifiesto la realización del hecho imponible de este Impuesto, con excepción de los actos de última voluntad. </w:t>
      </w:r>
    </w:p>
    <w:p w14:paraId="358D363C"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También estarán obligados a remitir, dentro del mismo plazo, relación de los documentos privados, compresivos de los mismos hechos, actos negocios jurídicos, que les hayan sido presentados para conocimiento o legitimación de firmas. </w:t>
      </w:r>
    </w:p>
    <w:p w14:paraId="0566630F"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Las relaciones o índices citados contendrán, como mínimo, los datos señalados en el artículo 11 y, además, el nombre y apellidos del adquirente, su N.I.F. y su domicilio. A partir del 1 de abril de 2022, deberán hacer constar la referencia catastral de los bienes inmuebles cuando dicha referencia se corresponda con los que sean objeto de transmisión. </w:t>
      </w:r>
    </w:p>
    <w:p w14:paraId="43F2DFF6"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3. Lo prevenido en el apartado anterior se entiende sin perjuicio del deber general de colaboración establecido en la Ley General Tributaria. </w:t>
      </w:r>
    </w:p>
    <w:p w14:paraId="5786ABF8"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r w:rsidRPr="008F3A7C">
        <w:rPr>
          <w:rFonts w:eastAsia="Arial" w:cs="Times New Roman"/>
          <w:b/>
          <w:color w:val="000000"/>
          <w:sz w:val="24"/>
          <w:lang w:eastAsia="es-ES" w:bidi="ar-SA"/>
        </w:rPr>
        <w:t xml:space="preserve"> </w:t>
      </w:r>
    </w:p>
    <w:p w14:paraId="64802D7F"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r w:rsidRPr="008F3A7C">
        <w:rPr>
          <w:rFonts w:eastAsia="Arial" w:cs="Times New Roman"/>
          <w:b/>
          <w:color w:val="000000"/>
          <w:sz w:val="24"/>
          <w:lang w:eastAsia="es-ES" w:bidi="ar-SA"/>
        </w:rPr>
        <w:t>Artículo 13.  Colaboración y cooperación interadministrativa.</w:t>
      </w:r>
    </w:p>
    <w:p w14:paraId="245E4A43"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p>
    <w:p w14:paraId="5053C01C"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A los efectos de la aplicación del impuesto, en particular en relación con el supuesto de no sujeción previsto en el artículo 3.2, así como para la determinación de la base imponible mediante el método  de estimación directa, de acuerdo con el artículo 6.3 m podrá suscribirse el correspondiente convenio de intercambio de información tributaria y de colaboración con la Administraciones tributarias autonómica. </w:t>
      </w:r>
    </w:p>
    <w:p w14:paraId="37FDCEDC"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p>
    <w:p w14:paraId="1EF59BDA"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p>
    <w:p w14:paraId="4F68AA13"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r w:rsidRPr="008F3A7C">
        <w:rPr>
          <w:rFonts w:eastAsia="Arial" w:cs="Times New Roman"/>
          <w:b/>
          <w:color w:val="000000"/>
          <w:sz w:val="24"/>
          <w:lang w:eastAsia="es-ES" w:bidi="ar-SA"/>
        </w:rPr>
        <w:t xml:space="preserve">Artículo 14. Recaudación </w:t>
      </w:r>
    </w:p>
    <w:p w14:paraId="7D51775C"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p>
    <w:p w14:paraId="395D0A2B"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 La recaudación de este impuesto se realizará de acuerdo con lo previsto en la Ley General Tributaria, el Reglamento General de Recaudación y en las demás Leyes del Estado reguladores de la materia, así como en las disposiciones dictadas para su desarrollo. </w:t>
      </w:r>
    </w:p>
    <w:p w14:paraId="415BF64D"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0004CA48"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X. INFRACCIONES Y SANCIONES </w:t>
      </w:r>
    </w:p>
    <w:p w14:paraId="33EC06D5" w14:textId="77777777" w:rsidR="008F3A7C" w:rsidRPr="008F3A7C" w:rsidRDefault="008F3A7C" w:rsidP="008A369F">
      <w:pPr>
        <w:widowControl/>
        <w:suppressAutoHyphens w:val="0"/>
        <w:spacing w:after="100" w:afterAutospacing="1"/>
        <w:jc w:val="both"/>
        <w:rPr>
          <w:rFonts w:eastAsia="Arial" w:cs="Times New Roman"/>
          <w:color w:val="000000"/>
          <w:sz w:val="24"/>
          <w:lang w:eastAsia="es-ES" w:bidi="ar-SA"/>
        </w:rPr>
      </w:pPr>
    </w:p>
    <w:p w14:paraId="00CEF971"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r w:rsidRPr="008F3A7C">
        <w:rPr>
          <w:rFonts w:eastAsia="Arial" w:cs="Times New Roman"/>
          <w:b/>
          <w:color w:val="000000"/>
          <w:sz w:val="24"/>
          <w:lang w:eastAsia="es-ES" w:bidi="ar-SA"/>
        </w:rPr>
        <w:t>Artículo 15.  Infracciones y sanciones</w:t>
      </w:r>
    </w:p>
    <w:p w14:paraId="1F441249" w14:textId="77777777" w:rsidR="008F3A7C" w:rsidRPr="008F3A7C" w:rsidRDefault="008F3A7C" w:rsidP="008A369F">
      <w:pPr>
        <w:widowControl/>
        <w:suppressAutoHyphens w:val="0"/>
        <w:spacing w:after="100" w:afterAutospacing="1"/>
        <w:jc w:val="both"/>
        <w:rPr>
          <w:rFonts w:eastAsia="Arial" w:cs="Times New Roman"/>
          <w:b/>
          <w:color w:val="000000"/>
          <w:sz w:val="24"/>
          <w:lang w:eastAsia="es-ES" w:bidi="ar-SA"/>
        </w:rPr>
      </w:pPr>
    </w:p>
    <w:p w14:paraId="117E30C6" w14:textId="77777777" w:rsidR="008F3A7C" w:rsidRPr="008F3A7C" w:rsidRDefault="008F3A7C" w:rsidP="008A369F">
      <w:pPr>
        <w:widowControl/>
        <w:numPr>
          <w:ilvl w:val="0"/>
          <w:numId w:val="3"/>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En todo lo relativo a infracciones tributarias y sanciones se aplicará el régimen establecido en el Título IV de la Ley General Tributaria, en las disposiciones que la complementen y desarrollen, así como en la Ordenanza Fiscal General de Gestión, Recaudación e Inspección.</w:t>
      </w:r>
    </w:p>
    <w:p w14:paraId="3121C807" w14:textId="77777777" w:rsidR="008F3A7C" w:rsidRPr="008F3A7C" w:rsidRDefault="008F3A7C" w:rsidP="008A369F">
      <w:pPr>
        <w:widowControl/>
        <w:suppressAutoHyphens w:val="0"/>
        <w:spacing w:after="100" w:afterAutospacing="1"/>
        <w:ind w:hanging="10"/>
        <w:jc w:val="both"/>
        <w:rPr>
          <w:rFonts w:eastAsia="Arial" w:cs="Times New Roman"/>
          <w:color w:val="000000"/>
          <w:sz w:val="24"/>
          <w:lang w:eastAsia="es-ES" w:bidi="ar-SA"/>
        </w:rPr>
      </w:pPr>
    </w:p>
    <w:p w14:paraId="78037730" w14:textId="77777777" w:rsidR="008F3A7C" w:rsidRPr="008F3A7C" w:rsidRDefault="008F3A7C" w:rsidP="008A369F">
      <w:pPr>
        <w:widowControl/>
        <w:numPr>
          <w:ilvl w:val="0"/>
          <w:numId w:val="3"/>
        </w:numPr>
        <w:suppressAutoHyphens w:val="0"/>
        <w:spacing w:after="100" w:afterAutospacing="1"/>
        <w:ind w:left="0"/>
        <w:contextualSpacing/>
        <w:jc w:val="both"/>
        <w:rPr>
          <w:rFonts w:eastAsia="Arial" w:cs="Times New Roman"/>
          <w:color w:val="000000"/>
          <w:sz w:val="24"/>
          <w:lang w:eastAsia="es-ES" w:bidi="ar-SA"/>
        </w:rPr>
      </w:pPr>
      <w:r w:rsidRPr="008F3A7C">
        <w:rPr>
          <w:rFonts w:eastAsia="Arial" w:cs="Times New Roman"/>
          <w:color w:val="000000"/>
          <w:sz w:val="24"/>
          <w:lang w:eastAsia="es-ES" w:bidi="ar-SA"/>
        </w:rPr>
        <w:t xml:space="preserve">En particular, se considerará infracción tributaria simple, de acuerdo con lo previsto en el art. 198 de la Ley General Tributaria, la no presentación en plazo de la autoliquidación o declaración tributaria, en los casos de no sujeción por razón de inexistencia de incremento de valor. </w:t>
      </w:r>
    </w:p>
    <w:p w14:paraId="38006F4D"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p>
    <w:p w14:paraId="03BAACC6"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2B82EC91"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DISPOSICIÓN TRANSITORIA </w:t>
      </w:r>
    </w:p>
    <w:p w14:paraId="58BA38D6"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 </w:t>
      </w:r>
    </w:p>
    <w:p w14:paraId="7B23527D"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En el caso de enajenación de bienes por entidades jurídicas que hubieren satisfecho, por tenencia de los mismos, cuotas por la modalidad de Equivalencia del extinguido Arbitrio sobre el Incremento del Valor de los Terrenos, se practicará liquidación tomando como fecha originaria la de adquisición de dichos bienes (con el límite de veinte años), deduciendo de la cuota que resulte el importe de la cantidad o cantidades efectivamente satisfechas por dicha modalidad durante el período impositivo. </w:t>
      </w:r>
    </w:p>
    <w:p w14:paraId="15208311"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sz w:val="24"/>
          <w:lang w:eastAsia="en-US" w:bidi="ar-SA"/>
        </w:rPr>
        <w:t xml:space="preserve">La prueba de las cantidades abonadas en su día por la modalidad de Equivalencia corresponderá a quienes pretendan su deducción del importe de la liquidación definitiva por concepto de Impuesto sobre el Incremento del Valor de los Terrenos de Naturaleza Urbana. </w:t>
      </w:r>
    </w:p>
    <w:p w14:paraId="1B50EE2E"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0ACE2DBC" w14:textId="77777777" w:rsidR="008F3A7C" w:rsidRPr="008F3A7C" w:rsidRDefault="008F3A7C" w:rsidP="008A369F">
      <w:pPr>
        <w:widowControl/>
        <w:suppressAutoHyphens w:val="0"/>
        <w:spacing w:after="100" w:afterAutospacing="1"/>
        <w:jc w:val="center"/>
        <w:rPr>
          <w:rFonts w:eastAsiaTheme="minorHAnsi" w:cs="Times New Roman"/>
          <w:b/>
          <w:bCs/>
          <w:sz w:val="24"/>
          <w:lang w:eastAsia="en-US" w:bidi="ar-SA"/>
        </w:rPr>
      </w:pPr>
      <w:r w:rsidRPr="008F3A7C">
        <w:rPr>
          <w:rFonts w:eastAsiaTheme="minorHAnsi" w:cs="Times New Roman"/>
          <w:b/>
          <w:bCs/>
          <w:sz w:val="24"/>
          <w:lang w:eastAsia="en-US" w:bidi="ar-SA"/>
        </w:rPr>
        <w:t xml:space="preserve">DISPOSICIONES FINALES </w:t>
      </w:r>
    </w:p>
    <w:p w14:paraId="22BD42AA" w14:textId="77777777" w:rsidR="008F3A7C" w:rsidRPr="008F3A7C" w:rsidRDefault="008F3A7C" w:rsidP="008A369F">
      <w:pPr>
        <w:widowControl/>
        <w:suppressAutoHyphens w:val="0"/>
        <w:spacing w:after="100" w:afterAutospacing="1"/>
        <w:rPr>
          <w:rFonts w:eastAsiaTheme="minorHAnsi" w:cs="Times New Roman"/>
          <w:sz w:val="24"/>
          <w:lang w:eastAsia="en-US" w:bidi="ar-SA"/>
        </w:rPr>
      </w:pPr>
      <w:r w:rsidRPr="008F3A7C">
        <w:rPr>
          <w:rFonts w:eastAsiaTheme="minorHAnsi" w:cs="Times New Roman"/>
          <w:sz w:val="24"/>
          <w:lang w:eastAsia="en-US" w:bidi="ar-SA"/>
        </w:rPr>
        <w:t xml:space="preserve"> </w:t>
      </w:r>
    </w:p>
    <w:p w14:paraId="51B34488" w14:textId="5A5951EE"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b/>
          <w:bCs/>
          <w:sz w:val="24"/>
          <w:lang w:eastAsia="en-US" w:bidi="ar-SA"/>
        </w:rPr>
        <w:t>PRIMERA.</w:t>
      </w:r>
      <w:r w:rsidRPr="008F3A7C">
        <w:rPr>
          <w:rFonts w:eastAsiaTheme="minorHAnsi" w:cs="Times New Roman"/>
          <w:sz w:val="24"/>
          <w:lang w:eastAsia="en-US" w:bidi="ar-SA"/>
        </w:rPr>
        <w:t xml:space="preserve"> En lo no previsto en la presente Ordenanza, serán de aplicación subsidiariamente lo previsto en la vigente Ordenanza Fiscal General de Gestión, Inspección y Recaudación</w:t>
      </w:r>
      <w:r w:rsidR="008A3A8C">
        <w:rPr>
          <w:rFonts w:eastAsiaTheme="minorHAnsi" w:cs="Times New Roman"/>
          <w:sz w:val="24"/>
          <w:lang w:eastAsia="en-US" w:bidi="ar-SA"/>
        </w:rPr>
        <w:t>, en caso de existir,</w:t>
      </w:r>
      <w:r w:rsidRPr="008F3A7C">
        <w:rPr>
          <w:rFonts w:eastAsiaTheme="minorHAnsi" w:cs="Times New Roman"/>
          <w:sz w:val="24"/>
          <w:lang w:eastAsia="en-US" w:bidi="ar-SA"/>
        </w:rPr>
        <w:t xml:space="preserve"> el Texto Refundido de la Ley de Reguladora de las Haciendas Locales, aprobado por Real Decreto Legislativo 2/2004, de 5 de marzo; la Ley de Presupuestos Generales del Estado de cada año, la Ley 58/2003, de 17 de diciembre, General Tributaria y cuantas normas se dicten para su aplicación.  </w:t>
      </w:r>
    </w:p>
    <w:p w14:paraId="6558E7E6" w14:textId="77777777" w:rsidR="008F3A7C" w:rsidRPr="008F3A7C" w:rsidRDefault="008F3A7C" w:rsidP="008A369F">
      <w:pPr>
        <w:widowControl/>
        <w:suppressAutoHyphens w:val="0"/>
        <w:spacing w:after="100" w:afterAutospacing="1"/>
        <w:jc w:val="both"/>
        <w:rPr>
          <w:rFonts w:eastAsiaTheme="minorHAnsi" w:cs="Times New Roman"/>
          <w:sz w:val="24"/>
          <w:lang w:eastAsia="en-US" w:bidi="ar-SA"/>
        </w:rPr>
      </w:pPr>
      <w:r w:rsidRPr="008F3A7C">
        <w:rPr>
          <w:rFonts w:eastAsiaTheme="minorHAnsi" w:cs="Times New Roman"/>
          <w:b/>
          <w:bCs/>
          <w:sz w:val="24"/>
          <w:lang w:eastAsia="en-US" w:bidi="ar-SA"/>
        </w:rPr>
        <w:t>SEGUNDA.</w:t>
      </w:r>
      <w:r w:rsidRPr="008F3A7C">
        <w:rPr>
          <w:rFonts w:eastAsiaTheme="minorHAnsi" w:cs="Times New Roman"/>
          <w:sz w:val="24"/>
          <w:lang w:eastAsia="en-US" w:bidi="ar-SA"/>
        </w:rPr>
        <w:t xml:space="preserve"> Esta Ordenanza entrará en vigor al día siguiente a su publicación y tendrá aplicación desde entonces y seguirá en vigor mientras no se acuerde su modificación o derogación expresa. </w:t>
      </w:r>
    </w:p>
    <w:p w14:paraId="31AEC8AC" w14:textId="77777777" w:rsidR="000676B1" w:rsidRDefault="000676B1" w:rsidP="008A369F">
      <w:pPr>
        <w:widowControl/>
        <w:suppressAutoHyphens w:val="0"/>
        <w:spacing w:after="100" w:afterAutospacing="1"/>
        <w:rPr>
          <w:rFonts w:eastAsiaTheme="minorHAnsi" w:cs="Times New Roman"/>
          <w:sz w:val="24"/>
          <w:lang w:eastAsia="en-US" w:bidi="ar-SA"/>
        </w:rPr>
      </w:pPr>
    </w:p>
    <w:p w14:paraId="1EC5623C" w14:textId="55F095A0" w:rsidR="008F3A7C" w:rsidRDefault="000676B1" w:rsidP="008A369F">
      <w:pPr>
        <w:widowControl/>
        <w:suppressAutoHyphens w:val="0"/>
        <w:spacing w:after="100" w:afterAutospacing="1"/>
        <w:rPr>
          <w:rFonts w:eastAsiaTheme="minorHAnsi" w:cs="Times New Roman"/>
          <w:sz w:val="24"/>
          <w:lang w:eastAsia="en-US" w:bidi="ar-SA"/>
        </w:rPr>
      </w:pPr>
      <w:r>
        <w:rPr>
          <w:rFonts w:eastAsiaTheme="minorHAnsi" w:cs="Times New Roman"/>
          <w:sz w:val="24"/>
          <w:lang w:eastAsia="en-US" w:bidi="ar-SA"/>
        </w:rPr>
        <w:t>Texto aprobado en Pleno 22/02/2022-  Publicación definitiva BOP 29/04/2022</w:t>
      </w:r>
      <w:r w:rsidR="008F3A7C" w:rsidRPr="008F3A7C">
        <w:rPr>
          <w:rFonts w:eastAsiaTheme="minorHAnsi" w:cs="Times New Roman"/>
          <w:sz w:val="24"/>
          <w:lang w:eastAsia="en-US" w:bidi="ar-SA"/>
        </w:rPr>
        <w:t xml:space="preserve"> </w:t>
      </w:r>
    </w:p>
    <w:p w14:paraId="09A90A79" w14:textId="77315849" w:rsidR="00A53DF1" w:rsidRPr="008F3A7C" w:rsidRDefault="00A53DF1" w:rsidP="008A369F">
      <w:pPr>
        <w:widowControl/>
        <w:suppressAutoHyphens w:val="0"/>
        <w:spacing w:after="100" w:afterAutospacing="1"/>
        <w:rPr>
          <w:rFonts w:eastAsiaTheme="minorHAnsi" w:cs="Times New Roman"/>
          <w:sz w:val="24"/>
          <w:lang w:eastAsia="en-US" w:bidi="ar-SA"/>
        </w:rPr>
      </w:pPr>
    </w:p>
    <w:p w14:paraId="562F5617" w14:textId="77777777" w:rsidR="004D7D66" w:rsidRPr="00B64DEF" w:rsidRDefault="001966AA" w:rsidP="00B64DEF">
      <w:pPr>
        <w:widowControl/>
        <w:suppressAutoHyphens w:val="0"/>
        <w:jc w:val="center"/>
        <w:rPr>
          <w:rFonts w:cs="Times New Roman"/>
          <w:b/>
          <w:bCs/>
          <w:sz w:val="24"/>
        </w:rPr>
      </w:pPr>
      <w:r>
        <w:rPr>
          <w:rFonts w:cs="Times New Roman"/>
          <w:sz w:val="24"/>
        </w:rPr>
        <w:br w:type="page"/>
      </w:r>
      <w:r w:rsidR="004D7D66" w:rsidRPr="00B64DEF">
        <w:rPr>
          <w:rFonts w:cs="Times New Roman"/>
          <w:b/>
          <w:bCs/>
          <w:sz w:val="24"/>
        </w:rPr>
        <w:lastRenderedPageBreak/>
        <w:t>ANEXO COEFICIENTES ACTUALIZADOS EJERCICIO 2026</w:t>
      </w:r>
    </w:p>
    <w:p w14:paraId="36970B9F" w14:textId="77777777" w:rsidR="004D7D66" w:rsidRPr="00B64DEF" w:rsidRDefault="004D7D66" w:rsidP="004D7D66">
      <w:pPr>
        <w:widowControl/>
        <w:suppressAutoHyphens w:val="0"/>
        <w:rPr>
          <w:rFonts w:cs="Times New Roman"/>
          <w:b/>
          <w:bCs/>
          <w:sz w:val="24"/>
        </w:rPr>
      </w:pPr>
    </w:p>
    <w:p w14:paraId="710697FB" w14:textId="77777777" w:rsidR="004D7D66" w:rsidRPr="00B64DEF" w:rsidRDefault="004D7D66" w:rsidP="004D7D66">
      <w:pPr>
        <w:widowControl/>
        <w:suppressAutoHyphens w:val="0"/>
        <w:rPr>
          <w:rFonts w:cs="Times New Roman"/>
          <w:b/>
          <w:bCs/>
          <w:sz w:val="24"/>
        </w:rPr>
      </w:pPr>
      <w:bookmarkStart w:id="1" w:name="_GoBack"/>
      <w:r w:rsidRPr="00B64DEF">
        <w:rPr>
          <w:rFonts w:cs="Times New Roman"/>
          <w:b/>
          <w:bCs/>
          <w:sz w:val="24"/>
        </w:rPr>
        <w:t>(Coeficientes aplicables: Máximos previstos conforme al artículo 107.4 Real Decreto Legislativo 2/2004, de 5 de marzo, por el que se aprueba el texto refundido de la Ley Reguladora de las Haciendas Locales)</w:t>
      </w:r>
    </w:p>
    <w:bookmarkEnd w:id="1"/>
    <w:p w14:paraId="25015A0B" w14:textId="77777777" w:rsidR="004D7D66" w:rsidRPr="00B64DEF" w:rsidRDefault="004D7D66" w:rsidP="004D7D66">
      <w:pPr>
        <w:widowControl/>
        <w:suppressAutoHyphens w:val="0"/>
        <w:rPr>
          <w:rFonts w:cs="Times New Roman"/>
          <w:sz w:val="24"/>
        </w:rPr>
      </w:pPr>
    </w:p>
    <w:tbl>
      <w:tblPr>
        <w:tblW w:w="5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21"/>
        <w:gridCol w:w="2173"/>
      </w:tblGrid>
      <w:tr w:rsidR="004D7D66" w:rsidRPr="00B64DEF" w14:paraId="37ACDF32" w14:textId="77777777" w:rsidTr="00B64DEF">
        <w:trPr>
          <w:trHeight w:val="540"/>
          <w:jc w:val="center"/>
        </w:trPr>
        <w:tc>
          <w:tcPr>
            <w:tcW w:w="3821" w:type="dxa"/>
            <w:tcMar>
              <w:top w:w="40" w:type="dxa"/>
              <w:left w:w="40" w:type="dxa"/>
              <w:bottom w:w="40" w:type="dxa"/>
              <w:right w:w="40" w:type="dxa"/>
            </w:tcMar>
            <w:vAlign w:val="bottom"/>
            <w:hideMark/>
          </w:tcPr>
          <w:p w14:paraId="3FE8142A" w14:textId="77777777" w:rsidR="004D7D66" w:rsidRPr="00B64DEF" w:rsidRDefault="004D7D66" w:rsidP="001217AB">
            <w:pPr>
              <w:widowControl/>
              <w:suppressAutoHyphens w:val="0"/>
              <w:rPr>
                <w:rFonts w:cs="Times New Roman"/>
                <w:sz w:val="24"/>
              </w:rPr>
            </w:pPr>
            <w:r w:rsidRPr="00B64DEF">
              <w:rPr>
                <w:rFonts w:cs="Times New Roman"/>
                <w:b/>
                <w:sz w:val="24"/>
              </w:rPr>
              <w:t>Periodo de generación</w:t>
            </w:r>
          </w:p>
        </w:tc>
        <w:tc>
          <w:tcPr>
            <w:tcW w:w="2173" w:type="dxa"/>
            <w:tcMar>
              <w:top w:w="40" w:type="dxa"/>
              <w:left w:w="40" w:type="dxa"/>
              <w:bottom w:w="40" w:type="dxa"/>
              <w:right w:w="40" w:type="dxa"/>
            </w:tcMar>
            <w:vAlign w:val="bottom"/>
            <w:hideMark/>
          </w:tcPr>
          <w:p w14:paraId="455A63A1" w14:textId="77777777" w:rsidR="004D7D66" w:rsidRPr="00B64DEF" w:rsidRDefault="004D7D66" w:rsidP="001217AB">
            <w:pPr>
              <w:widowControl/>
              <w:suppressAutoHyphens w:val="0"/>
              <w:rPr>
                <w:rFonts w:cs="Times New Roman"/>
                <w:sz w:val="24"/>
              </w:rPr>
            </w:pPr>
            <w:r w:rsidRPr="00B64DEF">
              <w:rPr>
                <w:rFonts w:cs="Times New Roman"/>
                <w:b/>
                <w:sz w:val="24"/>
              </w:rPr>
              <w:t>Coeficiente Actualizado</w:t>
            </w:r>
          </w:p>
        </w:tc>
      </w:tr>
      <w:tr w:rsidR="004D7D66" w:rsidRPr="00B64DEF" w14:paraId="432FC13F" w14:textId="77777777" w:rsidTr="00B64DEF">
        <w:trPr>
          <w:trHeight w:val="315"/>
          <w:jc w:val="center"/>
        </w:trPr>
        <w:tc>
          <w:tcPr>
            <w:tcW w:w="3821" w:type="dxa"/>
            <w:shd w:val="clear" w:color="auto" w:fill="FFFFFF"/>
            <w:tcMar>
              <w:top w:w="40" w:type="dxa"/>
              <w:left w:w="40" w:type="dxa"/>
              <w:bottom w:w="40" w:type="dxa"/>
              <w:right w:w="40" w:type="dxa"/>
            </w:tcMar>
            <w:hideMark/>
          </w:tcPr>
          <w:p w14:paraId="7DFB547B" w14:textId="77777777" w:rsidR="004D7D66" w:rsidRPr="00B64DEF" w:rsidRDefault="004D7D66" w:rsidP="001217AB">
            <w:pPr>
              <w:rPr>
                <w:rFonts w:cs="Times New Roman"/>
                <w:sz w:val="24"/>
              </w:rPr>
            </w:pPr>
            <w:r w:rsidRPr="00B64DEF">
              <w:rPr>
                <w:rFonts w:cs="Times New Roman"/>
                <w:sz w:val="24"/>
              </w:rPr>
              <w:t xml:space="preserve">Inferior a 1 año. </w:t>
            </w:r>
          </w:p>
        </w:tc>
        <w:tc>
          <w:tcPr>
            <w:tcW w:w="2173" w:type="dxa"/>
            <w:tcMar>
              <w:top w:w="40" w:type="dxa"/>
              <w:left w:w="40" w:type="dxa"/>
              <w:bottom w:w="40" w:type="dxa"/>
              <w:right w:w="40" w:type="dxa"/>
            </w:tcMar>
            <w:hideMark/>
          </w:tcPr>
          <w:p w14:paraId="2DE4F24A" w14:textId="77777777" w:rsidR="004D7D66" w:rsidRPr="00B64DEF" w:rsidRDefault="004D7D66" w:rsidP="001217AB">
            <w:pPr>
              <w:rPr>
                <w:rFonts w:cs="Times New Roman"/>
                <w:sz w:val="24"/>
              </w:rPr>
            </w:pPr>
            <w:r w:rsidRPr="00B64DEF">
              <w:rPr>
                <w:rFonts w:cs="Times New Roman"/>
                <w:sz w:val="24"/>
              </w:rPr>
              <w:t>0,15</w:t>
            </w:r>
          </w:p>
        </w:tc>
      </w:tr>
      <w:tr w:rsidR="004D7D66" w:rsidRPr="00B64DEF" w14:paraId="1A1D8447" w14:textId="77777777" w:rsidTr="00B64DEF">
        <w:trPr>
          <w:trHeight w:val="315"/>
          <w:jc w:val="center"/>
        </w:trPr>
        <w:tc>
          <w:tcPr>
            <w:tcW w:w="3821" w:type="dxa"/>
            <w:shd w:val="clear" w:color="auto" w:fill="FFFFFF"/>
            <w:tcMar>
              <w:top w:w="40" w:type="dxa"/>
              <w:left w:w="40" w:type="dxa"/>
              <w:bottom w:w="40" w:type="dxa"/>
              <w:right w:w="40" w:type="dxa"/>
            </w:tcMar>
            <w:hideMark/>
          </w:tcPr>
          <w:p w14:paraId="1A1568DA" w14:textId="77777777" w:rsidR="004D7D66" w:rsidRPr="00B64DEF" w:rsidRDefault="004D7D66" w:rsidP="001217AB">
            <w:pPr>
              <w:rPr>
                <w:rFonts w:cs="Times New Roman"/>
                <w:sz w:val="24"/>
              </w:rPr>
            </w:pPr>
            <w:r w:rsidRPr="00B64DEF">
              <w:rPr>
                <w:rFonts w:cs="Times New Roman"/>
                <w:sz w:val="24"/>
              </w:rPr>
              <w:t xml:space="preserve">1 año. </w:t>
            </w:r>
          </w:p>
        </w:tc>
        <w:tc>
          <w:tcPr>
            <w:tcW w:w="2173" w:type="dxa"/>
            <w:tcMar>
              <w:top w:w="40" w:type="dxa"/>
              <w:left w:w="40" w:type="dxa"/>
              <w:bottom w:w="40" w:type="dxa"/>
              <w:right w:w="40" w:type="dxa"/>
            </w:tcMar>
            <w:hideMark/>
          </w:tcPr>
          <w:p w14:paraId="42643A4D" w14:textId="77777777" w:rsidR="004D7D66" w:rsidRPr="00B64DEF" w:rsidRDefault="004D7D66" w:rsidP="001217AB">
            <w:pPr>
              <w:rPr>
                <w:rFonts w:cs="Times New Roman"/>
                <w:sz w:val="24"/>
              </w:rPr>
            </w:pPr>
            <w:r w:rsidRPr="00B64DEF">
              <w:rPr>
                <w:rFonts w:cs="Times New Roman"/>
                <w:sz w:val="24"/>
              </w:rPr>
              <w:t>0,15</w:t>
            </w:r>
          </w:p>
        </w:tc>
      </w:tr>
      <w:tr w:rsidR="004D7D66" w:rsidRPr="00B64DEF" w14:paraId="33C37FF3" w14:textId="77777777" w:rsidTr="00B64DEF">
        <w:trPr>
          <w:trHeight w:val="315"/>
          <w:jc w:val="center"/>
        </w:trPr>
        <w:tc>
          <w:tcPr>
            <w:tcW w:w="3821" w:type="dxa"/>
            <w:shd w:val="clear" w:color="auto" w:fill="FFFFFF"/>
            <w:tcMar>
              <w:top w:w="40" w:type="dxa"/>
              <w:left w:w="40" w:type="dxa"/>
              <w:bottom w:w="40" w:type="dxa"/>
              <w:right w:w="40" w:type="dxa"/>
            </w:tcMar>
            <w:hideMark/>
          </w:tcPr>
          <w:p w14:paraId="79684545" w14:textId="77777777" w:rsidR="004D7D66" w:rsidRPr="00B64DEF" w:rsidRDefault="004D7D66" w:rsidP="001217AB">
            <w:pPr>
              <w:rPr>
                <w:rFonts w:cs="Times New Roman"/>
                <w:sz w:val="24"/>
              </w:rPr>
            </w:pPr>
            <w:r w:rsidRPr="00B64DEF">
              <w:rPr>
                <w:rFonts w:cs="Times New Roman"/>
                <w:sz w:val="24"/>
              </w:rPr>
              <w:t xml:space="preserve">2 años. </w:t>
            </w:r>
          </w:p>
        </w:tc>
        <w:tc>
          <w:tcPr>
            <w:tcW w:w="2173" w:type="dxa"/>
            <w:tcMar>
              <w:top w:w="40" w:type="dxa"/>
              <w:left w:w="40" w:type="dxa"/>
              <w:bottom w:w="40" w:type="dxa"/>
              <w:right w:w="40" w:type="dxa"/>
            </w:tcMar>
            <w:hideMark/>
          </w:tcPr>
          <w:p w14:paraId="30367216" w14:textId="77777777" w:rsidR="004D7D66" w:rsidRPr="00B64DEF" w:rsidRDefault="004D7D66" w:rsidP="001217AB">
            <w:pPr>
              <w:rPr>
                <w:rFonts w:cs="Times New Roman"/>
                <w:sz w:val="24"/>
              </w:rPr>
            </w:pPr>
            <w:r w:rsidRPr="00B64DEF">
              <w:rPr>
                <w:rFonts w:cs="Times New Roman"/>
                <w:sz w:val="24"/>
              </w:rPr>
              <w:t>0,14</w:t>
            </w:r>
          </w:p>
        </w:tc>
      </w:tr>
      <w:tr w:rsidR="004D7D66" w:rsidRPr="00B64DEF" w14:paraId="6EBA07D9" w14:textId="77777777" w:rsidTr="00B64DEF">
        <w:trPr>
          <w:trHeight w:val="315"/>
          <w:jc w:val="center"/>
        </w:trPr>
        <w:tc>
          <w:tcPr>
            <w:tcW w:w="3821" w:type="dxa"/>
            <w:shd w:val="clear" w:color="auto" w:fill="FFFFFF"/>
            <w:tcMar>
              <w:top w:w="40" w:type="dxa"/>
              <w:left w:w="40" w:type="dxa"/>
              <w:bottom w:w="40" w:type="dxa"/>
              <w:right w:w="40" w:type="dxa"/>
            </w:tcMar>
            <w:hideMark/>
          </w:tcPr>
          <w:p w14:paraId="6E104B77" w14:textId="77777777" w:rsidR="004D7D66" w:rsidRPr="00B64DEF" w:rsidRDefault="004D7D66" w:rsidP="001217AB">
            <w:pPr>
              <w:rPr>
                <w:rFonts w:cs="Times New Roman"/>
                <w:sz w:val="24"/>
              </w:rPr>
            </w:pPr>
            <w:r w:rsidRPr="00B64DEF">
              <w:rPr>
                <w:rFonts w:cs="Times New Roman"/>
                <w:sz w:val="24"/>
              </w:rPr>
              <w:t xml:space="preserve">3 años. </w:t>
            </w:r>
          </w:p>
        </w:tc>
        <w:tc>
          <w:tcPr>
            <w:tcW w:w="2173" w:type="dxa"/>
            <w:tcMar>
              <w:top w:w="40" w:type="dxa"/>
              <w:left w:w="40" w:type="dxa"/>
              <w:bottom w:w="40" w:type="dxa"/>
              <w:right w:w="40" w:type="dxa"/>
            </w:tcMar>
            <w:hideMark/>
          </w:tcPr>
          <w:p w14:paraId="022C0B4C" w14:textId="77777777" w:rsidR="004D7D66" w:rsidRPr="00B64DEF" w:rsidRDefault="004D7D66" w:rsidP="001217AB">
            <w:pPr>
              <w:rPr>
                <w:rFonts w:cs="Times New Roman"/>
                <w:sz w:val="24"/>
              </w:rPr>
            </w:pPr>
            <w:r w:rsidRPr="00B64DEF">
              <w:rPr>
                <w:rFonts w:cs="Times New Roman"/>
                <w:sz w:val="24"/>
              </w:rPr>
              <w:t>0,14</w:t>
            </w:r>
          </w:p>
        </w:tc>
      </w:tr>
      <w:tr w:rsidR="004D7D66" w:rsidRPr="00B64DEF" w14:paraId="2E04ABC0" w14:textId="77777777" w:rsidTr="00B64DEF">
        <w:trPr>
          <w:trHeight w:val="315"/>
          <w:jc w:val="center"/>
        </w:trPr>
        <w:tc>
          <w:tcPr>
            <w:tcW w:w="3821" w:type="dxa"/>
            <w:shd w:val="clear" w:color="auto" w:fill="FFFFFF"/>
            <w:tcMar>
              <w:top w:w="40" w:type="dxa"/>
              <w:left w:w="40" w:type="dxa"/>
              <w:bottom w:w="40" w:type="dxa"/>
              <w:right w:w="40" w:type="dxa"/>
            </w:tcMar>
            <w:hideMark/>
          </w:tcPr>
          <w:p w14:paraId="71CBF43C" w14:textId="77777777" w:rsidR="004D7D66" w:rsidRPr="00B64DEF" w:rsidRDefault="004D7D66" w:rsidP="001217AB">
            <w:pPr>
              <w:rPr>
                <w:rFonts w:cs="Times New Roman"/>
                <w:sz w:val="24"/>
              </w:rPr>
            </w:pPr>
            <w:r w:rsidRPr="00B64DEF">
              <w:rPr>
                <w:rFonts w:cs="Times New Roman"/>
                <w:sz w:val="24"/>
              </w:rPr>
              <w:t xml:space="preserve">4 años. </w:t>
            </w:r>
          </w:p>
        </w:tc>
        <w:tc>
          <w:tcPr>
            <w:tcW w:w="2173" w:type="dxa"/>
            <w:tcMar>
              <w:top w:w="40" w:type="dxa"/>
              <w:left w:w="40" w:type="dxa"/>
              <w:bottom w:w="40" w:type="dxa"/>
              <w:right w:w="40" w:type="dxa"/>
            </w:tcMar>
            <w:hideMark/>
          </w:tcPr>
          <w:p w14:paraId="3865A200" w14:textId="77777777" w:rsidR="004D7D66" w:rsidRPr="00B64DEF" w:rsidRDefault="004D7D66" w:rsidP="001217AB">
            <w:pPr>
              <w:rPr>
                <w:rFonts w:cs="Times New Roman"/>
                <w:sz w:val="24"/>
              </w:rPr>
            </w:pPr>
            <w:r w:rsidRPr="00B64DEF">
              <w:rPr>
                <w:rFonts w:cs="Times New Roman"/>
                <w:sz w:val="24"/>
              </w:rPr>
              <w:t>0,16</w:t>
            </w:r>
          </w:p>
        </w:tc>
      </w:tr>
      <w:tr w:rsidR="004D7D66" w:rsidRPr="00B64DEF" w14:paraId="52C7E0E6" w14:textId="77777777" w:rsidTr="00B64DEF">
        <w:trPr>
          <w:trHeight w:val="315"/>
          <w:jc w:val="center"/>
        </w:trPr>
        <w:tc>
          <w:tcPr>
            <w:tcW w:w="3821" w:type="dxa"/>
            <w:shd w:val="clear" w:color="auto" w:fill="FFFFFF"/>
            <w:tcMar>
              <w:top w:w="40" w:type="dxa"/>
              <w:left w:w="40" w:type="dxa"/>
              <w:bottom w:w="40" w:type="dxa"/>
              <w:right w:w="40" w:type="dxa"/>
            </w:tcMar>
            <w:hideMark/>
          </w:tcPr>
          <w:p w14:paraId="043D9EC0" w14:textId="77777777" w:rsidR="004D7D66" w:rsidRPr="00B64DEF" w:rsidRDefault="004D7D66" w:rsidP="001217AB">
            <w:pPr>
              <w:rPr>
                <w:rFonts w:cs="Times New Roman"/>
                <w:sz w:val="24"/>
              </w:rPr>
            </w:pPr>
            <w:r w:rsidRPr="00B64DEF">
              <w:rPr>
                <w:rFonts w:cs="Times New Roman"/>
                <w:sz w:val="24"/>
              </w:rPr>
              <w:t xml:space="preserve">5 años. </w:t>
            </w:r>
          </w:p>
        </w:tc>
        <w:tc>
          <w:tcPr>
            <w:tcW w:w="2173" w:type="dxa"/>
            <w:tcMar>
              <w:top w:w="40" w:type="dxa"/>
              <w:left w:w="40" w:type="dxa"/>
              <w:bottom w:w="40" w:type="dxa"/>
              <w:right w:w="40" w:type="dxa"/>
            </w:tcMar>
            <w:hideMark/>
          </w:tcPr>
          <w:p w14:paraId="4AFFCF7E" w14:textId="77777777" w:rsidR="004D7D66" w:rsidRPr="00B64DEF" w:rsidRDefault="004D7D66" w:rsidP="001217AB">
            <w:pPr>
              <w:rPr>
                <w:rFonts w:cs="Times New Roman"/>
                <w:sz w:val="24"/>
              </w:rPr>
            </w:pPr>
            <w:r w:rsidRPr="00B64DEF">
              <w:rPr>
                <w:rFonts w:cs="Times New Roman"/>
                <w:sz w:val="24"/>
              </w:rPr>
              <w:t>0,18</w:t>
            </w:r>
          </w:p>
        </w:tc>
      </w:tr>
      <w:tr w:rsidR="004D7D66" w:rsidRPr="00B64DEF" w14:paraId="5259378F" w14:textId="77777777" w:rsidTr="00B64DEF">
        <w:trPr>
          <w:trHeight w:val="315"/>
          <w:jc w:val="center"/>
        </w:trPr>
        <w:tc>
          <w:tcPr>
            <w:tcW w:w="3821" w:type="dxa"/>
            <w:shd w:val="clear" w:color="auto" w:fill="FFFFFF"/>
            <w:tcMar>
              <w:top w:w="40" w:type="dxa"/>
              <w:left w:w="40" w:type="dxa"/>
              <w:bottom w:w="40" w:type="dxa"/>
              <w:right w:w="40" w:type="dxa"/>
            </w:tcMar>
            <w:hideMark/>
          </w:tcPr>
          <w:p w14:paraId="590BC65F" w14:textId="77777777" w:rsidR="004D7D66" w:rsidRPr="00B64DEF" w:rsidRDefault="004D7D66" w:rsidP="001217AB">
            <w:pPr>
              <w:rPr>
                <w:rFonts w:cs="Times New Roman"/>
                <w:sz w:val="24"/>
              </w:rPr>
            </w:pPr>
            <w:r w:rsidRPr="00B64DEF">
              <w:rPr>
                <w:rFonts w:cs="Times New Roman"/>
                <w:sz w:val="24"/>
              </w:rPr>
              <w:t xml:space="preserve">6 años. </w:t>
            </w:r>
          </w:p>
        </w:tc>
        <w:tc>
          <w:tcPr>
            <w:tcW w:w="2173" w:type="dxa"/>
            <w:tcMar>
              <w:top w:w="40" w:type="dxa"/>
              <w:left w:w="40" w:type="dxa"/>
              <w:bottom w:w="40" w:type="dxa"/>
              <w:right w:w="40" w:type="dxa"/>
            </w:tcMar>
            <w:hideMark/>
          </w:tcPr>
          <w:p w14:paraId="33C61D27" w14:textId="77777777" w:rsidR="004D7D66" w:rsidRPr="00B64DEF" w:rsidRDefault="004D7D66" w:rsidP="001217AB">
            <w:pPr>
              <w:rPr>
                <w:rFonts w:cs="Times New Roman"/>
                <w:sz w:val="24"/>
              </w:rPr>
            </w:pPr>
            <w:r w:rsidRPr="00B64DEF">
              <w:rPr>
                <w:rFonts w:cs="Times New Roman"/>
                <w:sz w:val="24"/>
              </w:rPr>
              <w:t>0,19</w:t>
            </w:r>
          </w:p>
        </w:tc>
      </w:tr>
      <w:tr w:rsidR="004D7D66" w:rsidRPr="00B64DEF" w14:paraId="4AF48950" w14:textId="77777777" w:rsidTr="00B64DEF">
        <w:trPr>
          <w:trHeight w:val="315"/>
          <w:jc w:val="center"/>
        </w:trPr>
        <w:tc>
          <w:tcPr>
            <w:tcW w:w="3821" w:type="dxa"/>
            <w:shd w:val="clear" w:color="auto" w:fill="FFFFFF"/>
            <w:tcMar>
              <w:top w:w="40" w:type="dxa"/>
              <w:left w:w="40" w:type="dxa"/>
              <w:bottom w:w="40" w:type="dxa"/>
              <w:right w:w="40" w:type="dxa"/>
            </w:tcMar>
            <w:hideMark/>
          </w:tcPr>
          <w:p w14:paraId="43B55359" w14:textId="77777777" w:rsidR="004D7D66" w:rsidRPr="00B64DEF" w:rsidRDefault="004D7D66" w:rsidP="001217AB">
            <w:pPr>
              <w:rPr>
                <w:rFonts w:cs="Times New Roman"/>
                <w:sz w:val="24"/>
              </w:rPr>
            </w:pPr>
            <w:r w:rsidRPr="00B64DEF">
              <w:rPr>
                <w:rFonts w:cs="Times New Roman"/>
                <w:sz w:val="24"/>
              </w:rPr>
              <w:t xml:space="preserve">7 años. </w:t>
            </w:r>
          </w:p>
        </w:tc>
        <w:tc>
          <w:tcPr>
            <w:tcW w:w="2173" w:type="dxa"/>
            <w:tcMar>
              <w:top w:w="40" w:type="dxa"/>
              <w:left w:w="40" w:type="dxa"/>
              <w:bottom w:w="40" w:type="dxa"/>
              <w:right w:w="40" w:type="dxa"/>
            </w:tcMar>
            <w:hideMark/>
          </w:tcPr>
          <w:p w14:paraId="1E4B547A" w14:textId="77777777" w:rsidR="004D7D66" w:rsidRPr="00B64DEF" w:rsidRDefault="004D7D66" w:rsidP="001217AB">
            <w:pPr>
              <w:rPr>
                <w:rFonts w:cs="Times New Roman"/>
                <w:sz w:val="24"/>
              </w:rPr>
            </w:pPr>
            <w:r w:rsidRPr="00B64DEF">
              <w:rPr>
                <w:rFonts w:cs="Times New Roman"/>
                <w:sz w:val="24"/>
              </w:rPr>
              <w:t>0,20</w:t>
            </w:r>
          </w:p>
        </w:tc>
      </w:tr>
      <w:tr w:rsidR="004D7D66" w:rsidRPr="00B64DEF" w14:paraId="58CAE456" w14:textId="77777777" w:rsidTr="00B64DEF">
        <w:trPr>
          <w:trHeight w:val="315"/>
          <w:jc w:val="center"/>
        </w:trPr>
        <w:tc>
          <w:tcPr>
            <w:tcW w:w="3821" w:type="dxa"/>
            <w:shd w:val="clear" w:color="auto" w:fill="FFFFFF"/>
            <w:tcMar>
              <w:top w:w="40" w:type="dxa"/>
              <w:left w:w="40" w:type="dxa"/>
              <w:bottom w:w="40" w:type="dxa"/>
              <w:right w:w="40" w:type="dxa"/>
            </w:tcMar>
            <w:hideMark/>
          </w:tcPr>
          <w:p w14:paraId="2244965C" w14:textId="77777777" w:rsidR="004D7D66" w:rsidRPr="00B64DEF" w:rsidRDefault="004D7D66" w:rsidP="001217AB">
            <w:pPr>
              <w:rPr>
                <w:rFonts w:cs="Times New Roman"/>
                <w:sz w:val="24"/>
              </w:rPr>
            </w:pPr>
            <w:r w:rsidRPr="00B64DEF">
              <w:rPr>
                <w:rFonts w:cs="Times New Roman"/>
                <w:sz w:val="24"/>
              </w:rPr>
              <w:t xml:space="preserve">8 años. </w:t>
            </w:r>
          </w:p>
        </w:tc>
        <w:tc>
          <w:tcPr>
            <w:tcW w:w="2173" w:type="dxa"/>
            <w:tcMar>
              <w:top w:w="40" w:type="dxa"/>
              <w:left w:w="40" w:type="dxa"/>
              <w:bottom w:w="40" w:type="dxa"/>
              <w:right w:w="40" w:type="dxa"/>
            </w:tcMar>
            <w:hideMark/>
          </w:tcPr>
          <w:p w14:paraId="3C490829" w14:textId="77777777" w:rsidR="004D7D66" w:rsidRPr="00B64DEF" w:rsidRDefault="004D7D66" w:rsidP="001217AB">
            <w:pPr>
              <w:rPr>
                <w:rFonts w:cs="Times New Roman"/>
                <w:sz w:val="24"/>
              </w:rPr>
            </w:pPr>
            <w:r w:rsidRPr="00B64DEF">
              <w:rPr>
                <w:rFonts w:cs="Times New Roman"/>
                <w:sz w:val="24"/>
              </w:rPr>
              <w:t>0,19</w:t>
            </w:r>
          </w:p>
        </w:tc>
      </w:tr>
      <w:tr w:rsidR="004D7D66" w:rsidRPr="00B64DEF" w14:paraId="29D096DC" w14:textId="77777777" w:rsidTr="00B64DEF">
        <w:trPr>
          <w:trHeight w:val="315"/>
          <w:jc w:val="center"/>
        </w:trPr>
        <w:tc>
          <w:tcPr>
            <w:tcW w:w="3821" w:type="dxa"/>
            <w:shd w:val="clear" w:color="auto" w:fill="FFFFFF"/>
            <w:tcMar>
              <w:top w:w="40" w:type="dxa"/>
              <w:left w:w="40" w:type="dxa"/>
              <w:bottom w:w="40" w:type="dxa"/>
              <w:right w:w="40" w:type="dxa"/>
            </w:tcMar>
            <w:hideMark/>
          </w:tcPr>
          <w:p w14:paraId="7AA6901B" w14:textId="77777777" w:rsidR="004D7D66" w:rsidRPr="00B64DEF" w:rsidRDefault="004D7D66" w:rsidP="001217AB">
            <w:pPr>
              <w:rPr>
                <w:rFonts w:cs="Times New Roman"/>
                <w:sz w:val="24"/>
              </w:rPr>
            </w:pPr>
            <w:r w:rsidRPr="00B64DEF">
              <w:rPr>
                <w:rFonts w:cs="Times New Roman"/>
                <w:sz w:val="24"/>
              </w:rPr>
              <w:t xml:space="preserve">9 años. </w:t>
            </w:r>
          </w:p>
        </w:tc>
        <w:tc>
          <w:tcPr>
            <w:tcW w:w="2173" w:type="dxa"/>
            <w:tcMar>
              <w:top w:w="40" w:type="dxa"/>
              <w:left w:w="40" w:type="dxa"/>
              <w:bottom w:w="40" w:type="dxa"/>
              <w:right w:w="40" w:type="dxa"/>
            </w:tcMar>
            <w:hideMark/>
          </w:tcPr>
          <w:p w14:paraId="62F345FB" w14:textId="77777777" w:rsidR="004D7D66" w:rsidRPr="00B64DEF" w:rsidRDefault="004D7D66" w:rsidP="001217AB">
            <w:pPr>
              <w:rPr>
                <w:rFonts w:cs="Times New Roman"/>
                <w:sz w:val="24"/>
              </w:rPr>
            </w:pPr>
            <w:r w:rsidRPr="00B64DEF">
              <w:rPr>
                <w:rFonts w:cs="Times New Roman"/>
                <w:sz w:val="24"/>
              </w:rPr>
              <w:t>0,15</w:t>
            </w:r>
          </w:p>
        </w:tc>
      </w:tr>
      <w:tr w:rsidR="004D7D66" w:rsidRPr="00B64DEF" w14:paraId="037C9BDE" w14:textId="77777777" w:rsidTr="00B64DEF">
        <w:trPr>
          <w:trHeight w:val="315"/>
          <w:jc w:val="center"/>
        </w:trPr>
        <w:tc>
          <w:tcPr>
            <w:tcW w:w="3821" w:type="dxa"/>
            <w:shd w:val="clear" w:color="auto" w:fill="FFFFFF"/>
            <w:tcMar>
              <w:top w:w="40" w:type="dxa"/>
              <w:left w:w="40" w:type="dxa"/>
              <w:bottom w:w="40" w:type="dxa"/>
              <w:right w:w="40" w:type="dxa"/>
            </w:tcMar>
            <w:hideMark/>
          </w:tcPr>
          <w:p w14:paraId="4238463F" w14:textId="77777777" w:rsidR="004D7D66" w:rsidRPr="00B64DEF" w:rsidRDefault="004D7D66" w:rsidP="001217AB">
            <w:pPr>
              <w:rPr>
                <w:rFonts w:cs="Times New Roman"/>
                <w:sz w:val="24"/>
              </w:rPr>
            </w:pPr>
            <w:r w:rsidRPr="00B64DEF">
              <w:rPr>
                <w:rFonts w:cs="Times New Roman"/>
                <w:sz w:val="24"/>
              </w:rPr>
              <w:t xml:space="preserve">10 años. </w:t>
            </w:r>
          </w:p>
        </w:tc>
        <w:tc>
          <w:tcPr>
            <w:tcW w:w="2173" w:type="dxa"/>
            <w:tcMar>
              <w:top w:w="40" w:type="dxa"/>
              <w:left w:w="40" w:type="dxa"/>
              <w:bottom w:w="40" w:type="dxa"/>
              <w:right w:w="40" w:type="dxa"/>
            </w:tcMar>
            <w:hideMark/>
          </w:tcPr>
          <w:p w14:paraId="03EBADF1" w14:textId="77777777" w:rsidR="004D7D66" w:rsidRPr="00B64DEF" w:rsidRDefault="004D7D66" w:rsidP="001217AB">
            <w:pPr>
              <w:rPr>
                <w:rFonts w:cs="Times New Roman"/>
                <w:sz w:val="24"/>
              </w:rPr>
            </w:pPr>
            <w:r w:rsidRPr="00B64DEF">
              <w:rPr>
                <w:rFonts w:cs="Times New Roman"/>
                <w:sz w:val="24"/>
              </w:rPr>
              <w:t>0,12</w:t>
            </w:r>
          </w:p>
        </w:tc>
      </w:tr>
      <w:tr w:rsidR="004D7D66" w:rsidRPr="00B64DEF" w14:paraId="54DFCF6A" w14:textId="77777777" w:rsidTr="00B64DEF">
        <w:trPr>
          <w:trHeight w:val="315"/>
          <w:jc w:val="center"/>
        </w:trPr>
        <w:tc>
          <w:tcPr>
            <w:tcW w:w="3821" w:type="dxa"/>
            <w:shd w:val="clear" w:color="auto" w:fill="FFFFFF"/>
            <w:tcMar>
              <w:top w:w="40" w:type="dxa"/>
              <w:left w:w="40" w:type="dxa"/>
              <w:bottom w:w="40" w:type="dxa"/>
              <w:right w:w="40" w:type="dxa"/>
            </w:tcMar>
            <w:hideMark/>
          </w:tcPr>
          <w:p w14:paraId="5E7458A8" w14:textId="77777777" w:rsidR="004D7D66" w:rsidRPr="00B64DEF" w:rsidRDefault="004D7D66" w:rsidP="001217AB">
            <w:pPr>
              <w:rPr>
                <w:rFonts w:cs="Times New Roman"/>
                <w:sz w:val="24"/>
              </w:rPr>
            </w:pPr>
            <w:r w:rsidRPr="00B64DEF">
              <w:rPr>
                <w:rFonts w:cs="Times New Roman"/>
                <w:sz w:val="24"/>
              </w:rPr>
              <w:t xml:space="preserve">11 años. </w:t>
            </w:r>
          </w:p>
        </w:tc>
        <w:tc>
          <w:tcPr>
            <w:tcW w:w="2173" w:type="dxa"/>
            <w:tcMar>
              <w:top w:w="40" w:type="dxa"/>
              <w:left w:w="40" w:type="dxa"/>
              <w:bottom w:w="40" w:type="dxa"/>
              <w:right w:w="40" w:type="dxa"/>
            </w:tcMar>
            <w:hideMark/>
          </w:tcPr>
          <w:p w14:paraId="307A0A09" w14:textId="77777777" w:rsidR="004D7D66" w:rsidRPr="00B64DEF" w:rsidRDefault="004D7D66" w:rsidP="001217AB">
            <w:pPr>
              <w:rPr>
                <w:rFonts w:cs="Times New Roman"/>
                <w:sz w:val="24"/>
              </w:rPr>
            </w:pPr>
            <w:r w:rsidRPr="00B64DEF">
              <w:rPr>
                <w:rFonts w:cs="Times New Roman"/>
                <w:sz w:val="24"/>
              </w:rPr>
              <w:t>0,10</w:t>
            </w:r>
          </w:p>
        </w:tc>
      </w:tr>
      <w:tr w:rsidR="004D7D66" w:rsidRPr="00B64DEF" w14:paraId="587675BC" w14:textId="77777777" w:rsidTr="00B64DEF">
        <w:trPr>
          <w:trHeight w:val="315"/>
          <w:jc w:val="center"/>
        </w:trPr>
        <w:tc>
          <w:tcPr>
            <w:tcW w:w="3821" w:type="dxa"/>
            <w:shd w:val="clear" w:color="auto" w:fill="FFFFFF"/>
            <w:tcMar>
              <w:top w:w="40" w:type="dxa"/>
              <w:left w:w="40" w:type="dxa"/>
              <w:bottom w:w="40" w:type="dxa"/>
              <w:right w:w="40" w:type="dxa"/>
            </w:tcMar>
            <w:hideMark/>
          </w:tcPr>
          <w:p w14:paraId="2924EEAD" w14:textId="77777777" w:rsidR="004D7D66" w:rsidRPr="00B64DEF" w:rsidRDefault="004D7D66" w:rsidP="001217AB">
            <w:pPr>
              <w:rPr>
                <w:rFonts w:cs="Times New Roman"/>
                <w:sz w:val="24"/>
              </w:rPr>
            </w:pPr>
            <w:r w:rsidRPr="00B64DEF">
              <w:rPr>
                <w:rFonts w:cs="Times New Roman"/>
                <w:sz w:val="24"/>
              </w:rPr>
              <w:t xml:space="preserve">12 años. </w:t>
            </w:r>
          </w:p>
        </w:tc>
        <w:tc>
          <w:tcPr>
            <w:tcW w:w="2173" w:type="dxa"/>
            <w:tcMar>
              <w:top w:w="40" w:type="dxa"/>
              <w:left w:w="40" w:type="dxa"/>
              <w:bottom w:w="40" w:type="dxa"/>
              <w:right w:w="40" w:type="dxa"/>
            </w:tcMar>
            <w:hideMark/>
          </w:tcPr>
          <w:p w14:paraId="08E51C2C" w14:textId="77777777" w:rsidR="004D7D66" w:rsidRPr="00B64DEF" w:rsidRDefault="004D7D66" w:rsidP="001217AB">
            <w:pPr>
              <w:rPr>
                <w:rFonts w:cs="Times New Roman"/>
                <w:sz w:val="24"/>
              </w:rPr>
            </w:pPr>
            <w:r w:rsidRPr="00B64DEF">
              <w:rPr>
                <w:rFonts w:cs="Times New Roman"/>
                <w:sz w:val="24"/>
              </w:rPr>
              <w:t>0,09</w:t>
            </w:r>
          </w:p>
        </w:tc>
      </w:tr>
      <w:tr w:rsidR="004D7D66" w:rsidRPr="00B64DEF" w14:paraId="50388C3E" w14:textId="77777777" w:rsidTr="00B64DEF">
        <w:trPr>
          <w:trHeight w:val="315"/>
          <w:jc w:val="center"/>
        </w:trPr>
        <w:tc>
          <w:tcPr>
            <w:tcW w:w="3821" w:type="dxa"/>
            <w:shd w:val="clear" w:color="auto" w:fill="FFFFFF"/>
            <w:tcMar>
              <w:top w:w="40" w:type="dxa"/>
              <w:left w:w="40" w:type="dxa"/>
              <w:bottom w:w="40" w:type="dxa"/>
              <w:right w:w="40" w:type="dxa"/>
            </w:tcMar>
            <w:hideMark/>
          </w:tcPr>
          <w:p w14:paraId="538F9E83" w14:textId="77777777" w:rsidR="004D7D66" w:rsidRPr="00B64DEF" w:rsidRDefault="004D7D66" w:rsidP="001217AB">
            <w:pPr>
              <w:rPr>
                <w:rFonts w:cs="Times New Roman"/>
                <w:sz w:val="24"/>
              </w:rPr>
            </w:pPr>
            <w:r w:rsidRPr="00B64DEF">
              <w:rPr>
                <w:rFonts w:cs="Times New Roman"/>
                <w:sz w:val="24"/>
              </w:rPr>
              <w:t xml:space="preserve">13 años. </w:t>
            </w:r>
          </w:p>
        </w:tc>
        <w:tc>
          <w:tcPr>
            <w:tcW w:w="2173" w:type="dxa"/>
            <w:tcMar>
              <w:top w:w="40" w:type="dxa"/>
              <w:left w:w="40" w:type="dxa"/>
              <w:bottom w:w="40" w:type="dxa"/>
              <w:right w:w="40" w:type="dxa"/>
            </w:tcMar>
            <w:hideMark/>
          </w:tcPr>
          <w:p w14:paraId="47C0F309" w14:textId="77777777" w:rsidR="004D7D66" w:rsidRPr="00B64DEF" w:rsidRDefault="004D7D66" w:rsidP="001217AB">
            <w:pPr>
              <w:rPr>
                <w:rFonts w:cs="Times New Roman"/>
                <w:sz w:val="24"/>
              </w:rPr>
            </w:pPr>
            <w:r w:rsidRPr="00B64DEF">
              <w:rPr>
                <w:rFonts w:cs="Times New Roman"/>
                <w:sz w:val="24"/>
              </w:rPr>
              <w:t>0,09</w:t>
            </w:r>
          </w:p>
        </w:tc>
      </w:tr>
      <w:tr w:rsidR="004D7D66" w:rsidRPr="00B64DEF" w14:paraId="19E54F38" w14:textId="77777777" w:rsidTr="00B64DEF">
        <w:trPr>
          <w:trHeight w:val="315"/>
          <w:jc w:val="center"/>
        </w:trPr>
        <w:tc>
          <w:tcPr>
            <w:tcW w:w="3821" w:type="dxa"/>
            <w:shd w:val="clear" w:color="auto" w:fill="FFFFFF"/>
            <w:tcMar>
              <w:top w:w="40" w:type="dxa"/>
              <w:left w:w="40" w:type="dxa"/>
              <w:bottom w:w="40" w:type="dxa"/>
              <w:right w:w="40" w:type="dxa"/>
            </w:tcMar>
            <w:hideMark/>
          </w:tcPr>
          <w:p w14:paraId="2468F68D" w14:textId="77777777" w:rsidR="004D7D66" w:rsidRPr="00B64DEF" w:rsidRDefault="004D7D66" w:rsidP="001217AB">
            <w:pPr>
              <w:rPr>
                <w:rFonts w:cs="Times New Roman"/>
                <w:sz w:val="24"/>
              </w:rPr>
            </w:pPr>
            <w:r w:rsidRPr="00B64DEF">
              <w:rPr>
                <w:rFonts w:cs="Times New Roman"/>
                <w:sz w:val="24"/>
              </w:rPr>
              <w:t xml:space="preserve">14 años. </w:t>
            </w:r>
          </w:p>
        </w:tc>
        <w:tc>
          <w:tcPr>
            <w:tcW w:w="2173" w:type="dxa"/>
            <w:tcMar>
              <w:top w:w="40" w:type="dxa"/>
              <w:left w:w="40" w:type="dxa"/>
              <w:bottom w:w="40" w:type="dxa"/>
              <w:right w:w="40" w:type="dxa"/>
            </w:tcMar>
            <w:hideMark/>
          </w:tcPr>
          <w:p w14:paraId="69C73265" w14:textId="77777777" w:rsidR="004D7D66" w:rsidRPr="00B64DEF" w:rsidRDefault="004D7D66" w:rsidP="001217AB">
            <w:pPr>
              <w:rPr>
                <w:rFonts w:cs="Times New Roman"/>
                <w:sz w:val="24"/>
              </w:rPr>
            </w:pPr>
            <w:r w:rsidRPr="00B64DEF">
              <w:rPr>
                <w:rFonts w:cs="Times New Roman"/>
                <w:sz w:val="24"/>
              </w:rPr>
              <w:t>0,09</w:t>
            </w:r>
          </w:p>
        </w:tc>
      </w:tr>
      <w:tr w:rsidR="004D7D66" w:rsidRPr="00B64DEF" w14:paraId="7EB75A5B" w14:textId="77777777" w:rsidTr="00B64DEF">
        <w:trPr>
          <w:trHeight w:val="315"/>
          <w:jc w:val="center"/>
        </w:trPr>
        <w:tc>
          <w:tcPr>
            <w:tcW w:w="3821" w:type="dxa"/>
            <w:shd w:val="clear" w:color="auto" w:fill="FFFFFF"/>
            <w:tcMar>
              <w:top w:w="40" w:type="dxa"/>
              <w:left w:w="40" w:type="dxa"/>
              <w:bottom w:w="40" w:type="dxa"/>
              <w:right w:w="40" w:type="dxa"/>
            </w:tcMar>
            <w:hideMark/>
          </w:tcPr>
          <w:p w14:paraId="0D1CDADC" w14:textId="77777777" w:rsidR="004D7D66" w:rsidRPr="00B64DEF" w:rsidRDefault="004D7D66" w:rsidP="001217AB">
            <w:pPr>
              <w:rPr>
                <w:rFonts w:cs="Times New Roman"/>
                <w:sz w:val="24"/>
              </w:rPr>
            </w:pPr>
            <w:r w:rsidRPr="00B64DEF">
              <w:rPr>
                <w:rFonts w:cs="Times New Roman"/>
                <w:sz w:val="24"/>
              </w:rPr>
              <w:t xml:space="preserve">15 años. </w:t>
            </w:r>
          </w:p>
        </w:tc>
        <w:tc>
          <w:tcPr>
            <w:tcW w:w="2173" w:type="dxa"/>
            <w:tcMar>
              <w:top w:w="40" w:type="dxa"/>
              <w:left w:w="40" w:type="dxa"/>
              <w:bottom w:w="40" w:type="dxa"/>
              <w:right w:w="40" w:type="dxa"/>
            </w:tcMar>
            <w:hideMark/>
          </w:tcPr>
          <w:p w14:paraId="2704D049" w14:textId="77777777" w:rsidR="004D7D66" w:rsidRPr="00B64DEF" w:rsidRDefault="004D7D66" w:rsidP="001217AB">
            <w:pPr>
              <w:rPr>
                <w:rFonts w:cs="Times New Roman"/>
                <w:sz w:val="24"/>
              </w:rPr>
            </w:pPr>
            <w:r w:rsidRPr="00B64DEF">
              <w:rPr>
                <w:rFonts w:cs="Times New Roman"/>
                <w:sz w:val="24"/>
              </w:rPr>
              <w:t>0,09</w:t>
            </w:r>
          </w:p>
        </w:tc>
      </w:tr>
      <w:tr w:rsidR="004D7D66" w:rsidRPr="00B64DEF" w14:paraId="58339F23" w14:textId="77777777" w:rsidTr="00B64DEF">
        <w:trPr>
          <w:trHeight w:val="315"/>
          <w:jc w:val="center"/>
        </w:trPr>
        <w:tc>
          <w:tcPr>
            <w:tcW w:w="3821" w:type="dxa"/>
            <w:shd w:val="clear" w:color="auto" w:fill="FFFFFF"/>
            <w:tcMar>
              <w:top w:w="40" w:type="dxa"/>
              <w:left w:w="40" w:type="dxa"/>
              <w:bottom w:w="40" w:type="dxa"/>
              <w:right w:w="40" w:type="dxa"/>
            </w:tcMar>
            <w:hideMark/>
          </w:tcPr>
          <w:p w14:paraId="5B124D18" w14:textId="77777777" w:rsidR="004D7D66" w:rsidRPr="00B64DEF" w:rsidRDefault="004D7D66" w:rsidP="001217AB">
            <w:pPr>
              <w:rPr>
                <w:rFonts w:cs="Times New Roman"/>
                <w:sz w:val="24"/>
              </w:rPr>
            </w:pPr>
            <w:r w:rsidRPr="00B64DEF">
              <w:rPr>
                <w:rFonts w:cs="Times New Roman"/>
                <w:sz w:val="24"/>
              </w:rPr>
              <w:t xml:space="preserve">16 años. </w:t>
            </w:r>
          </w:p>
        </w:tc>
        <w:tc>
          <w:tcPr>
            <w:tcW w:w="2173" w:type="dxa"/>
            <w:tcMar>
              <w:top w:w="40" w:type="dxa"/>
              <w:left w:w="40" w:type="dxa"/>
              <w:bottom w:w="40" w:type="dxa"/>
              <w:right w:w="40" w:type="dxa"/>
            </w:tcMar>
            <w:hideMark/>
          </w:tcPr>
          <w:p w14:paraId="68246B42" w14:textId="77777777" w:rsidR="004D7D66" w:rsidRPr="00B64DEF" w:rsidRDefault="004D7D66" w:rsidP="001217AB">
            <w:pPr>
              <w:rPr>
                <w:rFonts w:cs="Times New Roman"/>
                <w:sz w:val="24"/>
              </w:rPr>
            </w:pPr>
            <w:r w:rsidRPr="00B64DEF">
              <w:rPr>
                <w:rFonts w:cs="Times New Roman"/>
                <w:sz w:val="24"/>
              </w:rPr>
              <w:t>0,10</w:t>
            </w:r>
          </w:p>
        </w:tc>
      </w:tr>
      <w:tr w:rsidR="004D7D66" w:rsidRPr="00B64DEF" w14:paraId="543349F8" w14:textId="77777777" w:rsidTr="00B64DEF">
        <w:trPr>
          <w:trHeight w:val="315"/>
          <w:jc w:val="center"/>
        </w:trPr>
        <w:tc>
          <w:tcPr>
            <w:tcW w:w="3821" w:type="dxa"/>
            <w:shd w:val="clear" w:color="auto" w:fill="FFFFFF"/>
            <w:tcMar>
              <w:top w:w="40" w:type="dxa"/>
              <w:left w:w="40" w:type="dxa"/>
              <w:bottom w:w="40" w:type="dxa"/>
              <w:right w:w="40" w:type="dxa"/>
            </w:tcMar>
            <w:hideMark/>
          </w:tcPr>
          <w:p w14:paraId="4F6CEB97" w14:textId="77777777" w:rsidR="004D7D66" w:rsidRPr="00B64DEF" w:rsidRDefault="004D7D66" w:rsidP="001217AB">
            <w:pPr>
              <w:rPr>
                <w:rFonts w:cs="Times New Roman"/>
                <w:sz w:val="24"/>
              </w:rPr>
            </w:pPr>
            <w:r w:rsidRPr="00B64DEF">
              <w:rPr>
                <w:rFonts w:cs="Times New Roman"/>
                <w:sz w:val="24"/>
              </w:rPr>
              <w:t xml:space="preserve">17 años. </w:t>
            </w:r>
          </w:p>
        </w:tc>
        <w:tc>
          <w:tcPr>
            <w:tcW w:w="2173" w:type="dxa"/>
            <w:tcMar>
              <w:top w:w="40" w:type="dxa"/>
              <w:left w:w="40" w:type="dxa"/>
              <w:bottom w:w="40" w:type="dxa"/>
              <w:right w:w="40" w:type="dxa"/>
            </w:tcMar>
            <w:hideMark/>
          </w:tcPr>
          <w:p w14:paraId="2096CC96" w14:textId="77777777" w:rsidR="004D7D66" w:rsidRPr="00B64DEF" w:rsidRDefault="004D7D66" w:rsidP="001217AB">
            <w:pPr>
              <w:rPr>
                <w:rFonts w:cs="Times New Roman"/>
                <w:sz w:val="24"/>
              </w:rPr>
            </w:pPr>
            <w:r w:rsidRPr="00B64DEF">
              <w:rPr>
                <w:rFonts w:cs="Times New Roman"/>
                <w:sz w:val="24"/>
              </w:rPr>
              <w:t>0,13</w:t>
            </w:r>
          </w:p>
        </w:tc>
      </w:tr>
      <w:tr w:rsidR="004D7D66" w:rsidRPr="00B64DEF" w14:paraId="245F6D72" w14:textId="77777777" w:rsidTr="00B64DEF">
        <w:trPr>
          <w:trHeight w:val="315"/>
          <w:jc w:val="center"/>
        </w:trPr>
        <w:tc>
          <w:tcPr>
            <w:tcW w:w="3821" w:type="dxa"/>
            <w:shd w:val="clear" w:color="auto" w:fill="FFFFFF"/>
            <w:tcMar>
              <w:top w:w="40" w:type="dxa"/>
              <w:left w:w="40" w:type="dxa"/>
              <w:bottom w:w="40" w:type="dxa"/>
              <w:right w:w="40" w:type="dxa"/>
            </w:tcMar>
            <w:hideMark/>
          </w:tcPr>
          <w:p w14:paraId="4EA980C4" w14:textId="77777777" w:rsidR="004D7D66" w:rsidRPr="00B64DEF" w:rsidRDefault="004D7D66" w:rsidP="001217AB">
            <w:pPr>
              <w:rPr>
                <w:rFonts w:cs="Times New Roman"/>
                <w:sz w:val="24"/>
              </w:rPr>
            </w:pPr>
            <w:r w:rsidRPr="00B64DEF">
              <w:rPr>
                <w:rFonts w:cs="Times New Roman"/>
                <w:sz w:val="24"/>
              </w:rPr>
              <w:t xml:space="preserve">18 años. </w:t>
            </w:r>
          </w:p>
        </w:tc>
        <w:tc>
          <w:tcPr>
            <w:tcW w:w="2173" w:type="dxa"/>
            <w:tcMar>
              <w:top w:w="40" w:type="dxa"/>
              <w:left w:w="40" w:type="dxa"/>
              <w:bottom w:w="40" w:type="dxa"/>
              <w:right w:w="40" w:type="dxa"/>
            </w:tcMar>
            <w:hideMark/>
          </w:tcPr>
          <w:p w14:paraId="57BDB897" w14:textId="77777777" w:rsidR="004D7D66" w:rsidRPr="00B64DEF" w:rsidRDefault="004D7D66" w:rsidP="001217AB">
            <w:pPr>
              <w:rPr>
                <w:rFonts w:cs="Times New Roman"/>
                <w:sz w:val="24"/>
              </w:rPr>
            </w:pPr>
            <w:r w:rsidRPr="00B64DEF">
              <w:rPr>
                <w:rFonts w:cs="Times New Roman"/>
                <w:sz w:val="24"/>
              </w:rPr>
              <w:t>0,17</w:t>
            </w:r>
          </w:p>
        </w:tc>
      </w:tr>
      <w:tr w:rsidR="004D7D66" w:rsidRPr="00B64DEF" w14:paraId="1EC6C19E" w14:textId="77777777" w:rsidTr="00B64DEF">
        <w:trPr>
          <w:trHeight w:val="315"/>
          <w:jc w:val="center"/>
        </w:trPr>
        <w:tc>
          <w:tcPr>
            <w:tcW w:w="3821" w:type="dxa"/>
            <w:shd w:val="clear" w:color="auto" w:fill="FFFFFF"/>
            <w:tcMar>
              <w:top w:w="40" w:type="dxa"/>
              <w:left w:w="40" w:type="dxa"/>
              <w:bottom w:w="40" w:type="dxa"/>
              <w:right w:w="40" w:type="dxa"/>
            </w:tcMar>
            <w:hideMark/>
          </w:tcPr>
          <w:p w14:paraId="7BF67A2A" w14:textId="77777777" w:rsidR="004D7D66" w:rsidRPr="00B64DEF" w:rsidRDefault="004D7D66" w:rsidP="001217AB">
            <w:pPr>
              <w:rPr>
                <w:rFonts w:cs="Times New Roman"/>
                <w:sz w:val="24"/>
              </w:rPr>
            </w:pPr>
            <w:r w:rsidRPr="00B64DEF">
              <w:rPr>
                <w:rFonts w:cs="Times New Roman"/>
                <w:sz w:val="24"/>
              </w:rPr>
              <w:t xml:space="preserve">19 años. </w:t>
            </w:r>
          </w:p>
        </w:tc>
        <w:tc>
          <w:tcPr>
            <w:tcW w:w="2173" w:type="dxa"/>
            <w:tcMar>
              <w:top w:w="40" w:type="dxa"/>
              <w:left w:w="40" w:type="dxa"/>
              <w:bottom w:w="40" w:type="dxa"/>
              <w:right w:w="40" w:type="dxa"/>
            </w:tcMar>
            <w:hideMark/>
          </w:tcPr>
          <w:p w14:paraId="39B98F99" w14:textId="77777777" w:rsidR="004D7D66" w:rsidRPr="00B64DEF" w:rsidRDefault="004D7D66" w:rsidP="001217AB">
            <w:pPr>
              <w:rPr>
                <w:rFonts w:cs="Times New Roman"/>
                <w:sz w:val="24"/>
              </w:rPr>
            </w:pPr>
            <w:r w:rsidRPr="00B64DEF">
              <w:rPr>
                <w:rFonts w:cs="Times New Roman"/>
                <w:sz w:val="24"/>
              </w:rPr>
              <w:t>0,23</w:t>
            </w:r>
          </w:p>
        </w:tc>
      </w:tr>
      <w:tr w:rsidR="004D7D66" w:rsidRPr="00B64DEF" w14:paraId="2555532D" w14:textId="77777777" w:rsidTr="00B64DEF">
        <w:trPr>
          <w:trHeight w:val="315"/>
          <w:jc w:val="center"/>
        </w:trPr>
        <w:tc>
          <w:tcPr>
            <w:tcW w:w="3821" w:type="dxa"/>
            <w:shd w:val="clear" w:color="auto" w:fill="FFFFFF"/>
            <w:tcMar>
              <w:top w:w="40" w:type="dxa"/>
              <w:left w:w="40" w:type="dxa"/>
              <w:bottom w:w="40" w:type="dxa"/>
              <w:right w:w="40" w:type="dxa"/>
            </w:tcMar>
            <w:hideMark/>
          </w:tcPr>
          <w:p w14:paraId="49FE867E" w14:textId="77777777" w:rsidR="004D7D66" w:rsidRPr="00B64DEF" w:rsidRDefault="004D7D66" w:rsidP="001217AB">
            <w:pPr>
              <w:rPr>
                <w:rFonts w:cs="Times New Roman"/>
                <w:sz w:val="24"/>
              </w:rPr>
            </w:pPr>
            <w:r w:rsidRPr="00B64DEF">
              <w:rPr>
                <w:rFonts w:cs="Times New Roman"/>
                <w:sz w:val="24"/>
              </w:rPr>
              <w:t xml:space="preserve">Igual o superior a 20 años. </w:t>
            </w:r>
          </w:p>
        </w:tc>
        <w:tc>
          <w:tcPr>
            <w:tcW w:w="2173" w:type="dxa"/>
            <w:tcMar>
              <w:top w:w="40" w:type="dxa"/>
              <w:left w:w="40" w:type="dxa"/>
              <w:bottom w:w="40" w:type="dxa"/>
              <w:right w:w="40" w:type="dxa"/>
            </w:tcMar>
            <w:hideMark/>
          </w:tcPr>
          <w:p w14:paraId="447A5D2D" w14:textId="77777777" w:rsidR="004D7D66" w:rsidRPr="00B64DEF" w:rsidRDefault="004D7D66" w:rsidP="001217AB">
            <w:pPr>
              <w:rPr>
                <w:rFonts w:cs="Times New Roman"/>
                <w:sz w:val="24"/>
              </w:rPr>
            </w:pPr>
            <w:r w:rsidRPr="00B64DEF">
              <w:rPr>
                <w:rFonts w:cs="Times New Roman"/>
                <w:sz w:val="24"/>
              </w:rPr>
              <w:t>0,40</w:t>
            </w:r>
          </w:p>
        </w:tc>
      </w:tr>
    </w:tbl>
    <w:p w14:paraId="5564B84B" w14:textId="77777777" w:rsidR="004D7D66" w:rsidRPr="00B64DEF" w:rsidRDefault="004D7D66" w:rsidP="004D7D66">
      <w:pPr>
        <w:widowControl/>
        <w:suppressAutoHyphens w:val="0"/>
        <w:rPr>
          <w:rFonts w:cs="Times New Roman"/>
          <w:sz w:val="24"/>
        </w:rPr>
      </w:pPr>
    </w:p>
    <w:p w14:paraId="7CAD85A6" w14:textId="13FEF203" w:rsidR="00C76803" w:rsidRPr="00B64DEF" w:rsidRDefault="004D7D66" w:rsidP="004D7D66">
      <w:pPr>
        <w:widowControl/>
        <w:suppressAutoHyphens w:val="0"/>
        <w:rPr>
          <w:rFonts w:cs="Times New Roman"/>
          <w:sz w:val="24"/>
        </w:rPr>
      </w:pPr>
      <w:r w:rsidRPr="00B64DEF">
        <w:rPr>
          <w:rFonts w:cs="Times New Roman"/>
          <w:sz w:val="24"/>
        </w:rPr>
        <w:t>En el caso de que las Leyes de Presupuestos Generales del Estado, u otra norma dictada al efecto, procedan a su actualización, se entenderán automáticamente modificados</w:t>
      </w:r>
    </w:p>
    <w:p w14:paraId="12E25BC3" w14:textId="77777777" w:rsidR="00C76803" w:rsidRPr="00C76803" w:rsidRDefault="00C76803" w:rsidP="00C76803">
      <w:pPr>
        <w:widowControl/>
        <w:suppressAutoHyphens w:val="0"/>
        <w:rPr>
          <w:rFonts w:cs="Times New Roman"/>
          <w:sz w:val="24"/>
        </w:rPr>
      </w:pPr>
    </w:p>
    <w:p w14:paraId="514C8947" w14:textId="47DD8B9E" w:rsidR="001966AA" w:rsidRDefault="00C76803" w:rsidP="00C76803">
      <w:pPr>
        <w:widowControl/>
        <w:suppressAutoHyphens w:val="0"/>
        <w:jc w:val="center"/>
        <w:rPr>
          <w:rFonts w:cs="Times New Roman"/>
          <w:sz w:val="24"/>
        </w:rPr>
      </w:pPr>
      <w:r w:rsidRPr="00C76803">
        <w:rPr>
          <w:rFonts w:cs="Times New Roman"/>
          <w:b/>
          <w:sz w:val="24"/>
        </w:rPr>
        <w:t>DOCUMENTO FIRMADO ELECTRÓNICAM</w:t>
      </w:r>
      <w:r>
        <w:rPr>
          <w:rFonts w:cs="Times New Roman"/>
          <w:b/>
          <w:sz w:val="24"/>
        </w:rPr>
        <w:t>ENTE</w:t>
      </w:r>
    </w:p>
    <w:sectPr w:rsidR="001966AA">
      <w:headerReference w:type="default" r:id="rId7"/>
      <w:footerReference w:type="default" r:id="rId8"/>
      <w:headerReference w:type="first" r:id="rId9"/>
      <w:footerReference w:type="first" r:id="rId10"/>
      <w:pgSz w:w="11906" w:h="16838"/>
      <w:pgMar w:top="1809" w:right="1417" w:bottom="1354" w:left="1417" w:header="567" w:footer="56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9D92" w14:textId="77777777" w:rsidR="00714320" w:rsidRDefault="00714320">
      <w:r>
        <w:separator/>
      </w:r>
    </w:p>
  </w:endnote>
  <w:endnote w:type="continuationSeparator" w:id="0">
    <w:p w14:paraId="3C53E5FD" w14:textId="77777777" w:rsidR="00714320" w:rsidRDefault="0071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 Sans">
    <w:altName w:val="Verdana"/>
    <w:charset w:val="01"/>
    <w:family w:val="auto"/>
    <w:pitch w:val="variable"/>
  </w:font>
  <w:font w:name="Liberation Sans Unicode MS">
    <w:altName w:val="Arial"/>
    <w:charset w:val="01"/>
    <w:family w:val="auto"/>
    <w:pitch w:val="variable"/>
  </w:font>
  <w:font w:name="Liberation Sans">
    <w:altName w:val="Arial"/>
    <w:charset w:val="01"/>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287D3" w14:textId="77777777" w:rsidR="00A61560" w:rsidRDefault="00767A04">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Ayuntamiento de Zaratán</w:t>
    </w:r>
  </w:p>
  <w:p w14:paraId="166184C5" w14:textId="77777777" w:rsidR="00A61560" w:rsidRDefault="00767A04">
    <w:pPr>
      <w:pStyle w:val="Textoindependiente"/>
      <w:spacing w:after="0"/>
      <w:jc w:val="center"/>
    </w:pPr>
    <w:r>
      <w:rPr>
        <w:sz w:val="16"/>
        <w:szCs w:val="16"/>
      </w:rPr>
      <w:t>Plza. de las Herrerías, 1, Zaratán. 47610 (Valladolid). Tfno. 983344100. Fax: 983341075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6A7D7" w14:textId="77777777" w:rsidR="00A61560" w:rsidRDefault="00A615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BDE34" w14:textId="77777777" w:rsidR="00714320" w:rsidRDefault="00714320">
      <w:r>
        <w:separator/>
      </w:r>
    </w:p>
  </w:footnote>
  <w:footnote w:type="continuationSeparator" w:id="0">
    <w:p w14:paraId="3B4D583D" w14:textId="77777777" w:rsidR="00714320" w:rsidRDefault="00714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8BDB4" w14:textId="4FE4BF31" w:rsidR="00A61560" w:rsidRDefault="006916A0">
    <w:pPr>
      <w:pStyle w:val="Encabezado"/>
    </w:pPr>
    <w:r>
      <w:rPr>
        <w:noProof/>
        <w:lang w:eastAsia="es-ES" w:bidi="ar-SA"/>
      </w:rPr>
      <w:drawing>
        <wp:inline distT="0" distB="0" distL="0" distR="0" wp14:anchorId="308E5470" wp14:editId="3444D679">
          <wp:extent cx="6953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5325" cy="6953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D8F2" w14:textId="77777777" w:rsidR="00A61560" w:rsidRDefault="00A615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832E6"/>
    <w:multiLevelType w:val="hybridMultilevel"/>
    <w:tmpl w:val="B672D8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677F3B"/>
    <w:multiLevelType w:val="hybridMultilevel"/>
    <w:tmpl w:val="A7CCE008"/>
    <w:lvl w:ilvl="0" w:tplc="0C0A0017">
      <w:start w:val="1"/>
      <w:numFmt w:val="lowerLetter"/>
      <w:lvlText w:val="%1)"/>
      <w:lvlJc w:val="left"/>
      <w:pPr>
        <w:ind w:left="710" w:hanging="360"/>
      </w:p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2" w15:restartNumberingAfterBreak="0">
    <w:nsid w:val="4C7D2BA9"/>
    <w:multiLevelType w:val="hybridMultilevel"/>
    <w:tmpl w:val="396C4E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7092B9D"/>
    <w:multiLevelType w:val="hybridMultilevel"/>
    <w:tmpl w:val="A77850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2B2F99"/>
    <w:multiLevelType w:val="hybridMultilevel"/>
    <w:tmpl w:val="ABEAC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D6C0A22"/>
    <w:multiLevelType w:val="hybridMultilevel"/>
    <w:tmpl w:val="02F23756"/>
    <w:lvl w:ilvl="0" w:tplc="C124FAE0">
      <w:start w:val="1"/>
      <w:numFmt w:val="decimal"/>
      <w:lvlText w:val="%1."/>
      <w:lvlJc w:val="left"/>
      <w:pPr>
        <w:ind w:left="350" w:hanging="360"/>
      </w:pPr>
      <w:rPr>
        <w:rFonts w:hint="default"/>
      </w:rPr>
    </w:lvl>
    <w:lvl w:ilvl="1" w:tplc="0C0A0019" w:tentative="1">
      <w:start w:val="1"/>
      <w:numFmt w:val="lowerLetter"/>
      <w:lvlText w:val="%2."/>
      <w:lvlJc w:val="left"/>
      <w:pPr>
        <w:ind w:left="1070" w:hanging="360"/>
      </w:pPr>
    </w:lvl>
    <w:lvl w:ilvl="2" w:tplc="0C0A001B" w:tentative="1">
      <w:start w:val="1"/>
      <w:numFmt w:val="lowerRoman"/>
      <w:lvlText w:val="%3."/>
      <w:lvlJc w:val="right"/>
      <w:pPr>
        <w:ind w:left="1790" w:hanging="180"/>
      </w:pPr>
    </w:lvl>
    <w:lvl w:ilvl="3" w:tplc="0C0A000F" w:tentative="1">
      <w:start w:val="1"/>
      <w:numFmt w:val="decimal"/>
      <w:lvlText w:val="%4."/>
      <w:lvlJc w:val="left"/>
      <w:pPr>
        <w:ind w:left="2510" w:hanging="360"/>
      </w:pPr>
    </w:lvl>
    <w:lvl w:ilvl="4" w:tplc="0C0A0019" w:tentative="1">
      <w:start w:val="1"/>
      <w:numFmt w:val="lowerLetter"/>
      <w:lvlText w:val="%5."/>
      <w:lvlJc w:val="left"/>
      <w:pPr>
        <w:ind w:left="3230" w:hanging="360"/>
      </w:pPr>
    </w:lvl>
    <w:lvl w:ilvl="5" w:tplc="0C0A001B" w:tentative="1">
      <w:start w:val="1"/>
      <w:numFmt w:val="lowerRoman"/>
      <w:lvlText w:val="%6."/>
      <w:lvlJc w:val="right"/>
      <w:pPr>
        <w:ind w:left="3950" w:hanging="180"/>
      </w:pPr>
    </w:lvl>
    <w:lvl w:ilvl="6" w:tplc="0C0A000F" w:tentative="1">
      <w:start w:val="1"/>
      <w:numFmt w:val="decimal"/>
      <w:lvlText w:val="%7."/>
      <w:lvlJc w:val="left"/>
      <w:pPr>
        <w:ind w:left="4670" w:hanging="360"/>
      </w:pPr>
    </w:lvl>
    <w:lvl w:ilvl="7" w:tplc="0C0A0019" w:tentative="1">
      <w:start w:val="1"/>
      <w:numFmt w:val="lowerLetter"/>
      <w:lvlText w:val="%8."/>
      <w:lvlJc w:val="left"/>
      <w:pPr>
        <w:ind w:left="5390" w:hanging="360"/>
      </w:pPr>
    </w:lvl>
    <w:lvl w:ilvl="8" w:tplc="0C0A001B" w:tentative="1">
      <w:start w:val="1"/>
      <w:numFmt w:val="lowerRoman"/>
      <w:lvlText w:val="%9."/>
      <w:lvlJc w:val="right"/>
      <w:pPr>
        <w:ind w:left="611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A0"/>
    <w:rsid w:val="000676B1"/>
    <w:rsid w:val="000B0C42"/>
    <w:rsid w:val="00175214"/>
    <w:rsid w:val="0018792E"/>
    <w:rsid w:val="001966AA"/>
    <w:rsid w:val="001E57DF"/>
    <w:rsid w:val="00243667"/>
    <w:rsid w:val="002D002E"/>
    <w:rsid w:val="00413F81"/>
    <w:rsid w:val="004B3B50"/>
    <w:rsid w:val="004D7D66"/>
    <w:rsid w:val="004E2722"/>
    <w:rsid w:val="005339F5"/>
    <w:rsid w:val="00536F4D"/>
    <w:rsid w:val="005613B8"/>
    <w:rsid w:val="00667D8C"/>
    <w:rsid w:val="006916A0"/>
    <w:rsid w:val="0071211A"/>
    <w:rsid w:val="00714320"/>
    <w:rsid w:val="00767A04"/>
    <w:rsid w:val="00774C3C"/>
    <w:rsid w:val="008A369F"/>
    <w:rsid w:val="008A3A8C"/>
    <w:rsid w:val="008F3A7C"/>
    <w:rsid w:val="009019D9"/>
    <w:rsid w:val="00933963"/>
    <w:rsid w:val="009418F4"/>
    <w:rsid w:val="00953C99"/>
    <w:rsid w:val="00960691"/>
    <w:rsid w:val="00A53DF1"/>
    <w:rsid w:val="00A61560"/>
    <w:rsid w:val="00B03407"/>
    <w:rsid w:val="00B64DEF"/>
    <w:rsid w:val="00B853B6"/>
    <w:rsid w:val="00BC40EC"/>
    <w:rsid w:val="00C22FD4"/>
    <w:rsid w:val="00C504DB"/>
    <w:rsid w:val="00C76803"/>
    <w:rsid w:val="00D80B1F"/>
    <w:rsid w:val="00D86A9B"/>
    <w:rsid w:val="00D91BEC"/>
    <w:rsid w:val="00DA0B0C"/>
    <w:rsid w:val="00E863A1"/>
    <w:rsid w:val="00E95A9A"/>
    <w:rsid w:val="00EE3ECB"/>
    <w:rsid w:val="00FF2E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53CD27"/>
  <w15:chartTrackingRefBased/>
  <w15:docId w15:val="{BD694ECA-004D-45DD-9DB7-DA43C382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DejaVu Sans" w:cs="DejaVu Sans"/>
      <w:sz w:val="22"/>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paragraph" w:styleId="Prrafodelista">
    <w:name w:val="List Paragraph"/>
    <w:basedOn w:val="Normal"/>
    <w:uiPriority w:val="34"/>
    <w:qFormat/>
    <w:rsid w:val="00243667"/>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8007">
      <w:bodyDiv w:val="1"/>
      <w:marLeft w:val="0"/>
      <w:marRight w:val="0"/>
      <w:marTop w:val="0"/>
      <w:marBottom w:val="0"/>
      <w:divBdr>
        <w:top w:val="none" w:sz="0" w:space="0" w:color="auto"/>
        <w:left w:val="none" w:sz="0" w:space="0" w:color="auto"/>
        <w:bottom w:val="none" w:sz="0" w:space="0" w:color="auto"/>
        <w:right w:val="none" w:sz="0" w:space="0" w:color="auto"/>
      </w:divBdr>
    </w:div>
    <w:div w:id="3585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5572</Words>
  <Characters>30650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malde</dc:creator>
  <cp:keywords/>
  <cp:lastModifiedBy>CELESTE LOPEZ</cp:lastModifiedBy>
  <cp:revision>4</cp:revision>
  <cp:lastPrinted>1899-12-31T23:00:00Z</cp:lastPrinted>
  <dcterms:created xsi:type="dcterms:W3CDTF">2025-01-13T13:08:00Z</dcterms:created>
  <dcterms:modified xsi:type="dcterms:W3CDTF">2026-02-12T08:30:00Z</dcterms:modified>
</cp:coreProperties>
</file>